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8.1 -->
  <w:body>
    <w:p w:rsidR="001B4037" w:rsidRPr="008E1AE3" w:rsidP="00567171" w14:paraId="2DFFB57E" w14:textId="056FA810">
      <w:pPr>
        <w:pStyle w:val="Title"/>
        <w:outlineLvl w:val="9"/>
      </w:pPr>
      <w:bookmarkStart w:id="0" w:name="_Toc530651467"/>
      <w:bookmarkStart w:id="1" w:name="_Toc530652095"/>
      <w:bookmarkStart w:id="2" w:name="_Toc530663744"/>
      <w:bookmarkStart w:id="3" w:name="_Toc530672023"/>
      <w:bookmarkStart w:id="4" w:name="_Toc530672499"/>
      <w:bookmarkStart w:id="5" w:name="_Toc530674165"/>
      <w:bookmarkStart w:id="6" w:name="_Toc534728646"/>
      <w:r w:rsidRPr="008E1AE3">
        <w:t>Home</w:t>
      </w:r>
      <w:bookmarkEnd w:id="0"/>
      <w:bookmarkEnd w:id="1"/>
      <w:bookmarkEnd w:id="2"/>
      <w:bookmarkEnd w:id="3"/>
      <w:bookmarkEnd w:id="4"/>
      <w:bookmarkEnd w:id="5"/>
      <w:r w:rsidRPr="008E1AE3" w:rsidR="1BFB2D63">
        <w:t xml:space="preserve"> </w:t>
      </w:r>
      <w:bookmarkStart w:id="7" w:name="_Toc530651468"/>
      <w:bookmarkStart w:id="8" w:name="_Toc530652096"/>
      <w:bookmarkStart w:id="9" w:name="_Toc530663745"/>
      <w:bookmarkStart w:id="10" w:name="_Toc530672024"/>
      <w:bookmarkStart w:id="11" w:name="_Toc530672500"/>
      <w:bookmarkStart w:id="12" w:name="_Toc530674166"/>
      <w:r w:rsidRPr="008E1AE3" w:rsidR="1BFB2D63">
        <w:t>building compensation scheme report</w:t>
      </w:r>
      <w:bookmarkEnd w:id="6"/>
      <w:bookmarkEnd w:id="7"/>
      <w:bookmarkEnd w:id="8"/>
      <w:bookmarkEnd w:id="9"/>
      <w:bookmarkEnd w:id="10"/>
      <w:bookmarkEnd w:id="11"/>
      <w:bookmarkEnd w:id="12"/>
    </w:p>
    <w:p w:rsidR="00A317A0" w:rsidRPr="008E1AE3" w:rsidP="00567171" w14:paraId="0886252A" w14:textId="77777777">
      <w:pPr>
        <w:pStyle w:val="Secondarytitle"/>
        <w:outlineLvl w:val="9"/>
        <w:sectPr w:rsidSect="00802B5D">
          <w:headerReference w:type="default" r:id="rId9"/>
          <w:footerReference w:type="even" r:id="rId10"/>
          <w:pgSz w:w="11906" w:h="16838"/>
          <w:pgMar w:top="1134" w:right="2835" w:bottom="1134" w:left="1134" w:header="709" w:footer="709" w:gutter="0"/>
          <w:cols w:space="708"/>
          <w:docGrid w:linePitch="360"/>
        </w:sectPr>
      </w:pPr>
      <w:bookmarkStart w:id="13" w:name="_Toc530651469"/>
      <w:bookmarkStart w:id="14" w:name="_Toc530652097"/>
      <w:bookmarkStart w:id="15" w:name="_Toc530663746"/>
      <w:bookmarkStart w:id="16" w:name="_Toc530672025"/>
      <w:bookmarkStart w:id="17" w:name="_Toc530672501"/>
      <w:bookmarkStart w:id="18" w:name="_Toc530674167"/>
      <w:bookmarkStart w:id="19" w:name="_Toc534728647"/>
      <w:r w:rsidRPr="008E1AE3">
        <w:t>30 June 2018</w:t>
      </w:r>
      <w:bookmarkEnd w:id="13"/>
      <w:bookmarkEnd w:id="14"/>
      <w:bookmarkEnd w:id="15"/>
      <w:bookmarkEnd w:id="16"/>
      <w:bookmarkEnd w:id="17"/>
      <w:bookmarkEnd w:id="18"/>
      <w:bookmarkEnd w:id="19"/>
    </w:p>
    <w:p w:rsidR="00CE0E8B" w:rsidRPr="008E1AE3" w:rsidP="00522A5D" w14:paraId="1D4C5FDA" w14:textId="23D9B1B2">
      <w:pPr>
        <w:rPr>
          <w:color w:val="4F758B"/>
          <w:sz w:val="48"/>
          <w:szCs w:val="48"/>
        </w:rPr>
      </w:pPr>
      <w:bookmarkStart w:id="20" w:name="_Toc468880741"/>
      <w:bookmarkStart w:id="21" w:name="_Toc469044459"/>
      <w:bookmarkStart w:id="22" w:name="_Toc469044643"/>
      <w:r w:rsidRPr="008E1AE3">
        <w:rPr>
          <w:noProof/>
          <w:lang w:eastAsia="zh-CN"/>
        </w:rPr>
        <mc:AlternateContent>
          <mc:Choice Requires="wps">
            <w:drawing>
              <wp:anchor distT="0" distB="0" distL="114300" distR="114300" simplePos="0" relativeHeight="251658240" behindDoc="0" locked="0" layoutInCell="1" allowOverlap="1">
                <wp:simplePos x="0" y="0"/>
                <wp:positionH relativeFrom="column">
                  <wp:posOffset>2114550</wp:posOffset>
                </wp:positionH>
                <wp:positionV relativeFrom="paragraph">
                  <wp:posOffset>3402965</wp:posOffset>
                </wp:positionV>
                <wp:extent cx="1890395" cy="1076960"/>
                <wp:effectExtent l="0" t="0" r="0" b="0"/>
                <wp:wrapNone/>
                <wp:docPr id="3" name="Text Box 3" descr="State Insurance Regulatory Authority"/>
                <wp:cNvGraphicFramePr/>
                <a:graphic xmlns:a="http://schemas.openxmlformats.org/drawingml/2006/main">
                  <a:graphicData uri="http://schemas.microsoft.com/office/word/2010/wordprocessingShape">
                    <wps:wsp xmlns:wps="http://schemas.microsoft.com/office/word/2010/wordprocessingShape">
                      <wps:cNvSpPr txBox="1"/>
                      <wps:spPr>
                        <a:xfrm>
                          <a:off x="0" y="0"/>
                          <a:ext cx="1890395" cy="1076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1601" w:rsidRPr="00C6490F" w:rsidP="004F3EA3" w14:textId="77777777">
                            <w:pPr>
                              <w:pStyle w:val="Subtitle"/>
                            </w:pPr>
                            <w:r>
                              <w:t>State Insurance Regulatory Authority</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alt="State Insurance Regulatory Authority" style="width:148.85pt;height:84.8pt;margin-top:267.95pt;margin-left:166.5pt;mso-height-percent:0;mso-height-relative:margin;mso-width-percent:0;mso-width-relative:margin;mso-wrap-distance-bottom:0;mso-wrap-distance-left:9pt;mso-wrap-distance-right:9pt;mso-wrap-distance-top:0;mso-wrap-style:square;position:absolute;visibility:visible;v-text-anchor:top;z-index:251659264" filled="f" stroked="f" strokeweight="0.5pt">
                <v:textbox>
                  <w:txbxContent>
                    <w:p w:rsidR="006D1601" w:rsidRPr="00C6490F" w:rsidP="004F3EA3" w14:paraId="215101A3" w14:textId="77777777">
                      <w:pPr>
                        <w:pStyle w:val="Subtitle"/>
                      </w:pPr>
                      <w:r>
                        <w:t>State Insurance Regulatory Authority</w:t>
                      </w:r>
                    </w:p>
                  </w:txbxContent>
                </v:textbox>
              </v:shape>
            </w:pict>
          </mc:Fallback>
        </mc:AlternateContent>
      </w:r>
      <w:r w:rsidRPr="008E1AE3" w:rsidR="00CE0E8B">
        <w:br w:type="page"/>
      </w:r>
    </w:p>
    <w:p w:rsidR="001B18CB" w:rsidRPr="008E1AE3" w:rsidP="00BC5CAF" w14:paraId="0C12876B" w14:textId="15A15474">
      <w:pPr>
        <w:spacing w:before="480" w:after="240"/>
        <w:rPr>
          <w:rFonts w:ascii="Clarendon Lt BT" w:hAnsi="Clarendon Lt BT"/>
          <w:color w:val="007A33"/>
          <w:sz w:val="48"/>
          <w:szCs w:val="48"/>
        </w:rPr>
      </w:pPr>
      <w:bookmarkStart w:id="23" w:name="_Toc485823895"/>
      <w:bookmarkStart w:id="24" w:name="_Toc486319029"/>
      <w:bookmarkStart w:id="25" w:name="_Toc486319106"/>
      <w:bookmarkStart w:id="26" w:name="_Toc486320332"/>
      <w:bookmarkStart w:id="27" w:name="_Toc486320504"/>
      <w:bookmarkStart w:id="28" w:name="_Toc486408812"/>
      <w:bookmarkStart w:id="29" w:name="_Toc486408892"/>
      <w:bookmarkStart w:id="30" w:name="_Toc486409399"/>
      <w:bookmarkStart w:id="31" w:name="_Toc530651470"/>
      <w:bookmarkStart w:id="32" w:name="_Toc530652098"/>
      <w:bookmarkStart w:id="33" w:name="_Toc530663747"/>
      <w:bookmarkStart w:id="34" w:name="_Toc530672026"/>
      <w:bookmarkStart w:id="35" w:name="_Toc530672502"/>
      <w:bookmarkStart w:id="36" w:name="_Toc530674168"/>
      <w:bookmarkStart w:id="37" w:name="_Toc531180072"/>
      <w:bookmarkStart w:id="38" w:name="_Toc531181911"/>
      <w:r w:rsidRPr="008E1AE3">
        <w:rPr>
          <w:rFonts w:ascii="Clarendon Lt BT" w:hAnsi="Clarendon Lt BT"/>
          <w:color w:val="007A33"/>
          <w:sz w:val="48"/>
          <w:szCs w:val="48"/>
        </w:rPr>
        <w:t>Contents</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116712" w14:paraId="7A054F07" w14:textId="7750A916">
      <w:pPr>
        <w:pStyle w:val="TOC1"/>
        <w:rPr>
          <w:rFonts w:asciiTheme="minorHAnsi" w:eastAsiaTheme="minorEastAsia" w:hAnsiTheme="minorHAnsi"/>
          <w:noProof/>
          <w:lang w:eastAsia="en-AU"/>
        </w:rPr>
      </w:pPr>
      <w:r w:rsidRPr="008E1AE3">
        <w:fldChar w:fldCharType="begin"/>
      </w:r>
      <w:r w:rsidRPr="008E1AE3">
        <w:rPr>
          <w:noProof/>
        </w:rPr>
        <w:instrText xml:space="preserve"> TOC \o "1-3" \h \z \u </w:instrText>
      </w:r>
      <w:r w:rsidRPr="008E1AE3">
        <w:rPr>
          <w:noProof/>
          <w:color w:val="4F758B"/>
        </w:rPr>
        <w:fldChar w:fldCharType="separate"/>
      </w:r>
      <w:r>
        <w:fldChar w:fldCharType="begin"/>
      </w:r>
      <w:r>
        <w:instrText xml:space="preserve"> HYPERLINK \l "_Toc15488342" </w:instrText>
      </w:r>
      <w:r>
        <w:fldChar w:fldCharType="separate"/>
      </w:r>
      <w:r w:rsidRPr="00D71855">
        <w:rPr>
          <w:rStyle w:val="Hyperlink"/>
          <w:noProof/>
        </w:rPr>
        <w:t>Highlights</w:t>
      </w:r>
      <w:r>
        <w:rPr>
          <w:noProof/>
          <w:webHidden/>
        </w:rPr>
        <w:tab/>
      </w:r>
      <w:r>
        <w:rPr>
          <w:noProof/>
          <w:webHidden/>
        </w:rPr>
        <w:fldChar w:fldCharType="begin"/>
      </w:r>
      <w:r>
        <w:rPr>
          <w:noProof/>
          <w:webHidden/>
        </w:rPr>
        <w:instrText xml:space="preserve"> PAGEREF _Toc15488342 \h </w:instrText>
      </w:r>
      <w:r>
        <w:rPr>
          <w:noProof/>
          <w:webHidden/>
        </w:rPr>
        <w:fldChar w:fldCharType="separate"/>
      </w:r>
      <w:r w:rsidR="00363D25">
        <w:rPr>
          <w:noProof/>
          <w:webHidden/>
        </w:rPr>
        <w:t>3</w:t>
      </w:r>
      <w:r>
        <w:rPr>
          <w:noProof/>
          <w:webHidden/>
        </w:rPr>
        <w:fldChar w:fldCharType="end"/>
      </w:r>
      <w:r>
        <w:fldChar w:fldCharType="end"/>
      </w:r>
    </w:p>
    <w:p w:rsidR="00116712" w14:paraId="38B5B661" w14:textId="3907B7C2">
      <w:pPr>
        <w:pStyle w:val="TOC1"/>
        <w:rPr>
          <w:rFonts w:asciiTheme="minorHAnsi" w:eastAsiaTheme="minorEastAsia" w:hAnsiTheme="minorHAnsi"/>
          <w:noProof/>
          <w:lang w:eastAsia="en-AU"/>
        </w:rPr>
      </w:pPr>
      <w:r>
        <w:fldChar w:fldCharType="begin"/>
      </w:r>
      <w:r>
        <w:instrText xml:space="preserve"> HYPERLINK \l "_Toc15488343" </w:instrText>
      </w:r>
      <w:r>
        <w:fldChar w:fldCharType="separate"/>
      </w:r>
      <w:r w:rsidRPr="00D71855">
        <w:rPr>
          <w:rStyle w:val="Hyperlink"/>
          <w:noProof/>
        </w:rPr>
        <w:t>Introduction</w:t>
      </w:r>
      <w:r>
        <w:rPr>
          <w:noProof/>
          <w:webHidden/>
        </w:rPr>
        <w:tab/>
      </w:r>
      <w:r>
        <w:rPr>
          <w:noProof/>
          <w:webHidden/>
        </w:rPr>
        <w:fldChar w:fldCharType="begin"/>
      </w:r>
      <w:r>
        <w:rPr>
          <w:noProof/>
          <w:webHidden/>
        </w:rPr>
        <w:instrText xml:space="preserve"> PAGEREF _Toc15488343 \h </w:instrText>
      </w:r>
      <w:r>
        <w:rPr>
          <w:noProof/>
          <w:webHidden/>
        </w:rPr>
        <w:fldChar w:fldCharType="separate"/>
      </w:r>
      <w:r w:rsidR="00363D25">
        <w:rPr>
          <w:noProof/>
          <w:webHidden/>
        </w:rPr>
        <w:t>5</w:t>
      </w:r>
      <w:r>
        <w:rPr>
          <w:noProof/>
          <w:webHidden/>
        </w:rPr>
        <w:fldChar w:fldCharType="end"/>
      </w:r>
      <w:r>
        <w:fldChar w:fldCharType="end"/>
      </w:r>
    </w:p>
    <w:p w:rsidR="00116712" w14:paraId="2E228460" w14:textId="35431790">
      <w:pPr>
        <w:pStyle w:val="TOC2"/>
        <w:rPr>
          <w:rFonts w:asciiTheme="minorHAnsi" w:eastAsiaTheme="minorEastAsia" w:hAnsiTheme="minorHAnsi"/>
          <w:noProof/>
          <w:lang w:eastAsia="en-AU"/>
        </w:rPr>
      </w:pPr>
      <w:r>
        <w:fldChar w:fldCharType="begin"/>
      </w:r>
      <w:r>
        <w:instrText xml:space="preserve"> HYPERLINK \l "_Toc15488344" </w:instrText>
      </w:r>
      <w:r>
        <w:fldChar w:fldCharType="separate"/>
      </w:r>
      <w:r w:rsidRPr="00D71855">
        <w:rPr>
          <w:rStyle w:val="Hyperlink"/>
          <w:noProof/>
        </w:rPr>
        <w:t>Preamble</w:t>
      </w:r>
      <w:r>
        <w:rPr>
          <w:noProof/>
          <w:webHidden/>
        </w:rPr>
        <w:tab/>
      </w:r>
      <w:r>
        <w:rPr>
          <w:noProof/>
          <w:webHidden/>
        </w:rPr>
        <w:fldChar w:fldCharType="begin"/>
      </w:r>
      <w:r>
        <w:rPr>
          <w:noProof/>
          <w:webHidden/>
        </w:rPr>
        <w:instrText xml:space="preserve"> PAGEREF _Toc15488344 \h </w:instrText>
      </w:r>
      <w:r>
        <w:rPr>
          <w:noProof/>
          <w:webHidden/>
        </w:rPr>
        <w:fldChar w:fldCharType="separate"/>
      </w:r>
      <w:r w:rsidR="00363D25">
        <w:rPr>
          <w:noProof/>
          <w:webHidden/>
        </w:rPr>
        <w:t>5</w:t>
      </w:r>
      <w:r>
        <w:rPr>
          <w:noProof/>
          <w:webHidden/>
        </w:rPr>
        <w:fldChar w:fldCharType="end"/>
      </w:r>
      <w:r>
        <w:fldChar w:fldCharType="end"/>
      </w:r>
    </w:p>
    <w:p w:rsidR="00116712" w14:paraId="7D3D283E" w14:textId="14FB3591">
      <w:pPr>
        <w:pStyle w:val="TOC2"/>
        <w:rPr>
          <w:rFonts w:asciiTheme="minorHAnsi" w:eastAsiaTheme="minorEastAsia" w:hAnsiTheme="minorHAnsi"/>
          <w:noProof/>
          <w:lang w:eastAsia="en-AU"/>
        </w:rPr>
      </w:pPr>
      <w:r>
        <w:fldChar w:fldCharType="begin"/>
      </w:r>
      <w:r>
        <w:instrText xml:space="preserve"> HYPERLINK \l "_Toc15488345" </w:instrText>
      </w:r>
      <w:r>
        <w:fldChar w:fldCharType="separate"/>
      </w:r>
      <w:r w:rsidRPr="00D71855">
        <w:rPr>
          <w:rStyle w:val="Hyperlink"/>
          <w:noProof/>
        </w:rPr>
        <w:t>HBC scheme data</w:t>
      </w:r>
      <w:r>
        <w:rPr>
          <w:noProof/>
          <w:webHidden/>
        </w:rPr>
        <w:tab/>
      </w:r>
      <w:r>
        <w:rPr>
          <w:noProof/>
          <w:webHidden/>
        </w:rPr>
        <w:fldChar w:fldCharType="begin"/>
      </w:r>
      <w:r>
        <w:rPr>
          <w:noProof/>
          <w:webHidden/>
        </w:rPr>
        <w:instrText xml:space="preserve"> PAGEREF _Toc15488345 \h </w:instrText>
      </w:r>
      <w:r>
        <w:rPr>
          <w:noProof/>
          <w:webHidden/>
        </w:rPr>
        <w:fldChar w:fldCharType="separate"/>
      </w:r>
      <w:r w:rsidR="00363D25">
        <w:rPr>
          <w:noProof/>
          <w:webHidden/>
        </w:rPr>
        <w:t>6</w:t>
      </w:r>
      <w:r>
        <w:rPr>
          <w:noProof/>
          <w:webHidden/>
        </w:rPr>
        <w:fldChar w:fldCharType="end"/>
      </w:r>
      <w:r>
        <w:fldChar w:fldCharType="end"/>
      </w:r>
    </w:p>
    <w:p w:rsidR="00116712" w14:paraId="2E3DDCC4" w14:textId="109356D2">
      <w:pPr>
        <w:pStyle w:val="TOC2"/>
        <w:rPr>
          <w:rFonts w:asciiTheme="minorHAnsi" w:eastAsiaTheme="minorEastAsia" w:hAnsiTheme="minorHAnsi"/>
          <w:noProof/>
          <w:lang w:eastAsia="en-AU"/>
        </w:rPr>
      </w:pPr>
      <w:r>
        <w:fldChar w:fldCharType="begin"/>
      </w:r>
      <w:r>
        <w:instrText xml:space="preserve"> HYPERLINK \l "_Toc15488346" </w:instrText>
      </w:r>
      <w:r>
        <w:fldChar w:fldCharType="separate"/>
      </w:r>
      <w:r w:rsidRPr="00D71855">
        <w:rPr>
          <w:rStyle w:val="Hyperlink"/>
          <w:noProof/>
        </w:rPr>
        <w:t>Caution in interpreting the information</w:t>
      </w:r>
      <w:r>
        <w:rPr>
          <w:noProof/>
          <w:webHidden/>
        </w:rPr>
        <w:tab/>
      </w:r>
      <w:r>
        <w:rPr>
          <w:noProof/>
          <w:webHidden/>
        </w:rPr>
        <w:fldChar w:fldCharType="begin"/>
      </w:r>
      <w:r>
        <w:rPr>
          <w:noProof/>
          <w:webHidden/>
        </w:rPr>
        <w:instrText xml:space="preserve"> PAGEREF _Toc15488346 \h </w:instrText>
      </w:r>
      <w:r>
        <w:rPr>
          <w:noProof/>
          <w:webHidden/>
        </w:rPr>
        <w:fldChar w:fldCharType="separate"/>
      </w:r>
      <w:r w:rsidR="00363D25">
        <w:rPr>
          <w:noProof/>
          <w:webHidden/>
        </w:rPr>
        <w:t>6</w:t>
      </w:r>
      <w:r>
        <w:rPr>
          <w:noProof/>
          <w:webHidden/>
        </w:rPr>
        <w:fldChar w:fldCharType="end"/>
      </w:r>
      <w:r>
        <w:fldChar w:fldCharType="end"/>
      </w:r>
    </w:p>
    <w:p w:rsidR="00116712" w14:paraId="164B29FE" w14:textId="7F1A3AF9">
      <w:pPr>
        <w:pStyle w:val="TOC1"/>
        <w:rPr>
          <w:rFonts w:asciiTheme="minorHAnsi" w:eastAsiaTheme="minorEastAsia" w:hAnsiTheme="minorHAnsi"/>
          <w:noProof/>
          <w:lang w:eastAsia="en-AU"/>
        </w:rPr>
      </w:pPr>
      <w:r>
        <w:fldChar w:fldCharType="begin"/>
      </w:r>
      <w:r>
        <w:instrText xml:space="preserve"> HYPERLINK \l "_Toc15488347" </w:instrText>
      </w:r>
      <w:r>
        <w:fldChar w:fldCharType="separate"/>
      </w:r>
      <w:r w:rsidRPr="00D71855">
        <w:rPr>
          <w:rStyle w:val="Hyperlink"/>
          <w:noProof/>
        </w:rPr>
        <w:t>Part 1: Information pertaining to policies issued since 1 July 2010</w:t>
      </w:r>
      <w:r>
        <w:rPr>
          <w:noProof/>
          <w:webHidden/>
        </w:rPr>
        <w:tab/>
      </w:r>
      <w:r>
        <w:rPr>
          <w:noProof/>
          <w:webHidden/>
        </w:rPr>
        <w:fldChar w:fldCharType="begin"/>
      </w:r>
      <w:r>
        <w:rPr>
          <w:noProof/>
          <w:webHidden/>
        </w:rPr>
        <w:instrText xml:space="preserve"> PAGEREF _Toc15488347 \h </w:instrText>
      </w:r>
      <w:r>
        <w:rPr>
          <w:noProof/>
          <w:webHidden/>
        </w:rPr>
        <w:fldChar w:fldCharType="separate"/>
      </w:r>
      <w:r w:rsidR="00363D25">
        <w:rPr>
          <w:noProof/>
          <w:webHidden/>
        </w:rPr>
        <w:t>7</w:t>
      </w:r>
      <w:r>
        <w:rPr>
          <w:noProof/>
          <w:webHidden/>
        </w:rPr>
        <w:fldChar w:fldCharType="end"/>
      </w:r>
      <w:r>
        <w:fldChar w:fldCharType="end"/>
      </w:r>
    </w:p>
    <w:p w:rsidR="00116712" w14:paraId="5C96A022" w14:textId="60B1566B">
      <w:pPr>
        <w:pStyle w:val="TOC2"/>
        <w:rPr>
          <w:rFonts w:asciiTheme="minorHAnsi" w:eastAsiaTheme="minorEastAsia" w:hAnsiTheme="minorHAnsi"/>
          <w:noProof/>
          <w:lang w:eastAsia="en-AU"/>
        </w:rPr>
      </w:pPr>
      <w:r>
        <w:fldChar w:fldCharType="begin"/>
      </w:r>
      <w:r>
        <w:instrText xml:space="preserve"> HYPERLINK \l "_Toc15488348" </w:instrText>
      </w:r>
      <w:r>
        <w:fldChar w:fldCharType="separate"/>
      </w:r>
      <w:r w:rsidRPr="00D71855">
        <w:rPr>
          <w:rStyle w:val="Hyperlink"/>
          <w:noProof/>
        </w:rPr>
        <w:t>1.</w:t>
      </w:r>
      <w:r>
        <w:rPr>
          <w:rFonts w:asciiTheme="minorHAnsi" w:eastAsiaTheme="minorEastAsia" w:hAnsiTheme="minorHAnsi"/>
          <w:noProof/>
          <w:lang w:eastAsia="en-AU"/>
        </w:rPr>
        <w:t xml:space="preserve"> </w:t>
      </w:r>
      <w:r w:rsidRPr="00D71855">
        <w:rPr>
          <w:rStyle w:val="Hyperlink"/>
          <w:noProof/>
        </w:rPr>
        <w:t>Eligibility information</w:t>
      </w:r>
      <w:r>
        <w:rPr>
          <w:noProof/>
          <w:webHidden/>
        </w:rPr>
        <w:tab/>
      </w:r>
      <w:r>
        <w:rPr>
          <w:noProof/>
          <w:webHidden/>
        </w:rPr>
        <w:fldChar w:fldCharType="begin"/>
      </w:r>
      <w:r>
        <w:rPr>
          <w:noProof/>
          <w:webHidden/>
        </w:rPr>
        <w:instrText xml:space="preserve"> PAGEREF _Toc15488348 \h </w:instrText>
      </w:r>
      <w:r>
        <w:rPr>
          <w:noProof/>
          <w:webHidden/>
        </w:rPr>
        <w:fldChar w:fldCharType="separate"/>
      </w:r>
      <w:r w:rsidR="00363D25">
        <w:rPr>
          <w:noProof/>
          <w:webHidden/>
        </w:rPr>
        <w:t>7</w:t>
      </w:r>
      <w:r>
        <w:rPr>
          <w:noProof/>
          <w:webHidden/>
        </w:rPr>
        <w:fldChar w:fldCharType="end"/>
      </w:r>
      <w:r>
        <w:fldChar w:fldCharType="end"/>
      </w:r>
    </w:p>
    <w:p w:rsidR="00116712" w14:paraId="198A0E4C" w14:textId="42D5364B">
      <w:pPr>
        <w:pStyle w:val="TOC3"/>
        <w:rPr>
          <w:rFonts w:asciiTheme="minorHAnsi" w:eastAsiaTheme="minorEastAsia" w:hAnsiTheme="minorHAnsi"/>
          <w:lang w:val="en-AU" w:eastAsia="en-AU"/>
        </w:rPr>
      </w:pPr>
      <w:r>
        <w:fldChar w:fldCharType="begin"/>
      </w:r>
      <w:r>
        <w:instrText xml:space="preserve"> HYPERLINK \l "_Toc15488349" </w:instrText>
      </w:r>
      <w:r>
        <w:fldChar w:fldCharType="separate"/>
      </w:r>
      <w:r w:rsidRPr="00D71855">
        <w:rPr>
          <w:rStyle w:val="Hyperlink"/>
        </w:rPr>
        <w:t>Builder eligibility</w:t>
      </w:r>
      <w:r>
        <w:rPr>
          <w:webHidden/>
        </w:rPr>
        <w:tab/>
      </w:r>
      <w:r>
        <w:rPr>
          <w:webHidden/>
        </w:rPr>
        <w:fldChar w:fldCharType="begin"/>
      </w:r>
      <w:r>
        <w:rPr>
          <w:webHidden/>
        </w:rPr>
        <w:instrText xml:space="preserve"> PAGEREF _Toc15488349 \h </w:instrText>
      </w:r>
      <w:r>
        <w:rPr>
          <w:webHidden/>
        </w:rPr>
        <w:fldChar w:fldCharType="separate"/>
      </w:r>
      <w:r w:rsidR="00363D25">
        <w:rPr>
          <w:webHidden/>
        </w:rPr>
        <w:t>7</w:t>
      </w:r>
      <w:r>
        <w:rPr>
          <w:webHidden/>
        </w:rPr>
        <w:fldChar w:fldCharType="end"/>
      </w:r>
      <w:r>
        <w:fldChar w:fldCharType="end"/>
      </w:r>
      <w:bookmarkStart w:id="39" w:name="_GoBack"/>
      <w:bookmarkEnd w:id="39"/>
    </w:p>
    <w:p w:rsidR="00116712" w14:paraId="60533A32" w14:textId="337433AC">
      <w:pPr>
        <w:pStyle w:val="TOC2"/>
        <w:rPr>
          <w:rFonts w:asciiTheme="minorHAnsi" w:eastAsiaTheme="minorEastAsia" w:hAnsiTheme="minorHAnsi"/>
          <w:noProof/>
          <w:lang w:eastAsia="en-AU"/>
        </w:rPr>
      </w:pPr>
      <w:r>
        <w:fldChar w:fldCharType="begin"/>
      </w:r>
      <w:r>
        <w:instrText xml:space="preserve"> HYPERLINK \l "_Toc15488350" </w:instrText>
      </w:r>
      <w:r>
        <w:fldChar w:fldCharType="separate"/>
      </w:r>
      <w:r w:rsidRPr="00D71855">
        <w:rPr>
          <w:rStyle w:val="Hyperlink"/>
          <w:noProof/>
        </w:rPr>
        <w:t>2.</w:t>
      </w:r>
      <w:r>
        <w:rPr>
          <w:rFonts w:asciiTheme="minorHAnsi" w:eastAsiaTheme="minorEastAsia" w:hAnsiTheme="minorHAnsi"/>
          <w:noProof/>
          <w:lang w:eastAsia="en-AU"/>
        </w:rPr>
        <w:t xml:space="preserve"> </w:t>
      </w:r>
      <w:r w:rsidRPr="00D71855">
        <w:rPr>
          <w:rStyle w:val="Hyperlink"/>
          <w:noProof/>
        </w:rPr>
        <w:t>Securities held by icare HBCF from builders</w:t>
      </w:r>
      <w:r>
        <w:rPr>
          <w:noProof/>
          <w:webHidden/>
        </w:rPr>
        <w:tab/>
      </w:r>
      <w:r>
        <w:rPr>
          <w:noProof/>
          <w:webHidden/>
        </w:rPr>
        <w:fldChar w:fldCharType="begin"/>
      </w:r>
      <w:r>
        <w:rPr>
          <w:noProof/>
          <w:webHidden/>
        </w:rPr>
        <w:instrText xml:space="preserve"> PAGEREF _Toc15488350 \h </w:instrText>
      </w:r>
      <w:r>
        <w:rPr>
          <w:noProof/>
          <w:webHidden/>
        </w:rPr>
        <w:fldChar w:fldCharType="separate"/>
      </w:r>
      <w:r w:rsidR="00363D25">
        <w:rPr>
          <w:noProof/>
          <w:webHidden/>
        </w:rPr>
        <w:t>10</w:t>
      </w:r>
      <w:r>
        <w:rPr>
          <w:noProof/>
          <w:webHidden/>
        </w:rPr>
        <w:fldChar w:fldCharType="end"/>
      </w:r>
      <w:r>
        <w:fldChar w:fldCharType="end"/>
      </w:r>
    </w:p>
    <w:p w:rsidR="00116712" w14:paraId="73EC8007" w14:textId="6FF29643">
      <w:pPr>
        <w:pStyle w:val="TOC2"/>
        <w:rPr>
          <w:rFonts w:asciiTheme="minorHAnsi" w:eastAsiaTheme="minorEastAsia" w:hAnsiTheme="minorHAnsi"/>
          <w:noProof/>
          <w:lang w:eastAsia="en-AU"/>
        </w:rPr>
      </w:pPr>
      <w:r>
        <w:fldChar w:fldCharType="begin"/>
      </w:r>
      <w:r>
        <w:instrText xml:space="preserve"> HYPERLINK \l "_Toc15488351" </w:instrText>
      </w:r>
      <w:r>
        <w:fldChar w:fldCharType="separate"/>
      </w:r>
      <w:r w:rsidRPr="00D71855">
        <w:rPr>
          <w:rStyle w:val="Hyperlink"/>
          <w:noProof/>
        </w:rPr>
        <w:t>3. Home Building Compensation (HBC) certificate of insurance information</w:t>
      </w:r>
      <w:r>
        <w:rPr>
          <w:noProof/>
          <w:webHidden/>
        </w:rPr>
        <w:tab/>
      </w:r>
      <w:r>
        <w:rPr>
          <w:noProof/>
          <w:webHidden/>
        </w:rPr>
        <w:fldChar w:fldCharType="begin"/>
      </w:r>
      <w:r>
        <w:rPr>
          <w:noProof/>
          <w:webHidden/>
        </w:rPr>
        <w:instrText xml:space="preserve"> PAGEREF _Toc15488351 \h </w:instrText>
      </w:r>
      <w:r>
        <w:rPr>
          <w:noProof/>
          <w:webHidden/>
        </w:rPr>
        <w:fldChar w:fldCharType="separate"/>
      </w:r>
      <w:r w:rsidR="00363D25">
        <w:rPr>
          <w:noProof/>
          <w:webHidden/>
        </w:rPr>
        <w:t>12</w:t>
      </w:r>
      <w:r>
        <w:rPr>
          <w:noProof/>
          <w:webHidden/>
        </w:rPr>
        <w:fldChar w:fldCharType="end"/>
      </w:r>
      <w:r>
        <w:fldChar w:fldCharType="end"/>
      </w:r>
    </w:p>
    <w:p w:rsidR="00116712" w14:paraId="52F89403" w14:textId="4537F96B">
      <w:pPr>
        <w:pStyle w:val="TOC3"/>
        <w:rPr>
          <w:rFonts w:asciiTheme="minorHAnsi" w:eastAsiaTheme="minorEastAsia" w:hAnsiTheme="minorHAnsi"/>
          <w:lang w:val="en-AU" w:eastAsia="en-AU"/>
        </w:rPr>
      </w:pPr>
      <w:r>
        <w:fldChar w:fldCharType="begin"/>
      </w:r>
      <w:r>
        <w:instrText xml:space="preserve"> HYPERLINK \l "_Toc15488352" </w:instrText>
      </w:r>
      <w:r>
        <w:fldChar w:fldCharType="separate"/>
      </w:r>
      <w:r w:rsidRPr="00D71855">
        <w:rPr>
          <w:rStyle w:val="Hyperlink"/>
        </w:rPr>
        <w:t>New certificate of insurance issued to builders</w:t>
      </w:r>
      <w:r>
        <w:rPr>
          <w:webHidden/>
        </w:rPr>
        <w:tab/>
      </w:r>
      <w:r>
        <w:rPr>
          <w:webHidden/>
        </w:rPr>
        <w:fldChar w:fldCharType="begin"/>
      </w:r>
      <w:r>
        <w:rPr>
          <w:webHidden/>
        </w:rPr>
        <w:instrText xml:space="preserve"> PAGEREF _Toc15488352 \h </w:instrText>
      </w:r>
      <w:r>
        <w:rPr>
          <w:webHidden/>
        </w:rPr>
        <w:fldChar w:fldCharType="separate"/>
      </w:r>
      <w:r w:rsidR="00363D25">
        <w:rPr>
          <w:webHidden/>
        </w:rPr>
        <w:t>12</w:t>
      </w:r>
      <w:r>
        <w:rPr>
          <w:webHidden/>
        </w:rPr>
        <w:fldChar w:fldCharType="end"/>
      </w:r>
      <w:r>
        <w:fldChar w:fldCharType="end"/>
      </w:r>
    </w:p>
    <w:p w:rsidR="00116712" w14:paraId="25532084" w14:textId="32E53CAD">
      <w:pPr>
        <w:pStyle w:val="TOC3"/>
        <w:rPr>
          <w:rFonts w:asciiTheme="minorHAnsi" w:eastAsiaTheme="minorEastAsia" w:hAnsiTheme="minorHAnsi"/>
          <w:lang w:val="en-AU" w:eastAsia="en-AU"/>
        </w:rPr>
      </w:pPr>
      <w:r>
        <w:fldChar w:fldCharType="begin"/>
      </w:r>
      <w:r>
        <w:instrText xml:space="preserve"> HYPERLINK \l "_Toc15488353" </w:instrText>
      </w:r>
      <w:r>
        <w:fldChar w:fldCharType="separate"/>
      </w:r>
      <w:r w:rsidRPr="00D71855">
        <w:rPr>
          <w:rStyle w:val="Hyperlink"/>
        </w:rPr>
        <w:t>Comparing ABS building approvals for NSW with new certificates of insurance issued</w:t>
      </w:r>
      <w:r>
        <w:rPr>
          <w:webHidden/>
        </w:rPr>
        <w:tab/>
      </w:r>
      <w:r>
        <w:rPr>
          <w:webHidden/>
        </w:rPr>
        <w:fldChar w:fldCharType="begin"/>
      </w:r>
      <w:r>
        <w:rPr>
          <w:webHidden/>
        </w:rPr>
        <w:instrText xml:space="preserve"> PAGEREF _Toc15488353 \h </w:instrText>
      </w:r>
      <w:r>
        <w:rPr>
          <w:webHidden/>
        </w:rPr>
        <w:fldChar w:fldCharType="separate"/>
      </w:r>
      <w:r w:rsidR="00363D25">
        <w:rPr>
          <w:webHidden/>
        </w:rPr>
        <w:t>15</w:t>
      </w:r>
      <w:r>
        <w:rPr>
          <w:webHidden/>
        </w:rPr>
        <w:fldChar w:fldCharType="end"/>
      </w:r>
      <w:r>
        <w:fldChar w:fldCharType="end"/>
      </w:r>
    </w:p>
    <w:p w:rsidR="00116712" w14:paraId="0113313D" w14:textId="2EB8B4D4">
      <w:pPr>
        <w:pStyle w:val="TOC2"/>
        <w:rPr>
          <w:rFonts w:asciiTheme="minorHAnsi" w:eastAsiaTheme="minorEastAsia" w:hAnsiTheme="minorHAnsi"/>
          <w:noProof/>
          <w:lang w:eastAsia="en-AU"/>
        </w:rPr>
      </w:pPr>
      <w:r>
        <w:fldChar w:fldCharType="begin"/>
      </w:r>
      <w:r>
        <w:instrText xml:space="preserve"> HYPERLINK \l "_Toc15488354" </w:instrText>
      </w:r>
      <w:r>
        <w:fldChar w:fldCharType="separate"/>
      </w:r>
      <w:r w:rsidRPr="00D71855">
        <w:rPr>
          <w:rStyle w:val="Hyperlink"/>
          <w:noProof/>
        </w:rPr>
        <w:t>4. Premiums information</w:t>
      </w:r>
      <w:r>
        <w:rPr>
          <w:noProof/>
          <w:webHidden/>
        </w:rPr>
        <w:tab/>
      </w:r>
      <w:r>
        <w:rPr>
          <w:noProof/>
          <w:webHidden/>
        </w:rPr>
        <w:fldChar w:fldCharType="begin"/>
      </w:r>
      <w:r>
        <w:rPr>
          <w:noProof/>
          <w:webHidden/>
        </w:rPr>
        <w:instrText xml:space="preserve"> PAGEREF _Toc15488354 \h </w:instrText>
      </w:r>
      <w:r>
        <w:rPr>
          <w:noProof/>
          <w:webHidden/>
        </w:rPr>
        <w:fldChar w:fldCharType="separate"/>
      </w:r>
      <w:r w:rsidR="00363D25">
        <w:rPr>
          <w:noProof/>
          <w:webHidden/>
        </w:rPr>
        <w:t>17</w:t>
      </w:r>
      <w:r>
        <w:rPr>
          <w:noProof/>
          <w:webHidden/>
        </w:rPr>
        <w:fldChar w:fldCharType="end"/>
      </w:r>
      <w:r>
        <w:fldChar w:fldCharType="end"/>
      </w:r>
    </w:p>
    <w:p w:rsidR="00116712" w14:paraId="585496FF" w14:textId="7161817F">
      <w:pPr>
        <w:pStyle w:val="TOC2"/>
        <w:rPr>
          <w:rFonts w:asciiTheme="minorHAnsi" w:eastAsiaTheme="minorEastAsia" w:hAnsiTheme="minorHAnsi"/>
          <w:noProof/>
          <w:lang w:eastAsia="en-AU"/>
        </w:rPr>
      </w:pPr>
      <w:r>
        <w:fldChar w:fldCharType="begin"/>
      </w:r>
      <w:r>
        <w:instrText xml:space="preserve"> HYPERLINK \l "_Toc15488355" </w:instrText>
      </w:r>
      <w:r>
        <w:fldChar w:fldCharType="separate"/>
      </w:r>
      <w:r w:rsidRPr="00D71855">
        <w:rPr>
          <w:rStyle w:val="Hyperlink"/>
          <w:noProof/>
        </w:rPr>
        <w:t>5. Claims information</w:t>
      </w:r>
      <w:r>
        <w:rPr>
          <w:noProof/>
          <w:webHidden/>
        </w:rPr>
        <w:tab/>
      </w:r>
      <w:r>
        <w:rPr>
          <w:noProof/>
          <w:webHidden/>
        </w:rPr>
        <w:fldChar w:fldCharType="begin"/>
      </w:r>
      <w:r>
        <w:rPr>
          <w:noProof/>
          <w:webHidden/>
        </w:rPr>
        <w:instrText xml:space="preserve"> PAGEREF _Toc15488355 \h </w:instrText>
      </w:r>
      <w:r>
        <w:rPr>
          <w:noProof/>
          <w:webHidden/>
        </w:rPr>
        <w:fldChar w:fldCharType="separate"/>
      </w:r>
      <w:r w:rsidR="00363D25">
        <w:rPr>
          <w:noProof/>
          <w:webHidden/>
        </w:rPr>
        <w:t>20</w:t>
      </w:r>
      <w:r>
        <w:rPr>
          <w:noProof/>
          <w:webHidden/>
        </w:rPr>
        <w:fldChar w:fldCharType="end"/>
      </w:r>
      <w:r>
        <w:fldChar w:fldCharType="end"/>
      </w:r>
    </w:p>
    <w:p w:rsidR="00116712" w14:paraId="4031AA6D" w14:textId="750BEB21">
      <w:pPr>
        <w:pStyle w:val="TOC3"/>
        <w:rPr>
          <w:rFonts w:asciiTheme="minorHAnsi" w:eastAsiaTheme="minorEastAsia" w:hAnsiTheme="minorHAnsi"/>
          <w:lang w:val="en-AU" w:eastAsia="en-AU"/>
        </w:rPr>
      </w:pPr>
      <w:r>
        <w:fldChar w:fldCharType="begin"/>
      </w:r>
      <w:r>
        <w:instrText xml:space="preserve"> HYPERLINK \l "_Toc15488356" </w:instrText>
      </w:r>
      <w:r>
        <w:fldChar w:fldCharType="separate"/>
      </w:r>
      <w:r w:rsidRPr="00D71855">
        <w:rPr>
          <w:rStyle w:val="Hyperlink"/>
        </w:rPr>
        <w:t>Number of notifications of loss and claims lodged</w:t>
      </w:r>
      <w:r>
        <w:rPr>
          <w:webHidden/>
        </w:rPr>
        <w:tab/>
      </w:r>
      <w:r>
        <w:rPr>
          <w:webHidden/>
        </w:rPr>
        <w:fldChar w:fldCharType="begin"/>
      </w:r>
      <w:r>
        <w:rPr>
          <w:webHidden/>
        </w:rPr>
        <w:instrText xml:space="preserve"> PAGEREF _Toc15488356 \h </w:instrText>
      </w:r>
      <w:r>
        <w:rPr>
          <w:webHidden/>
        </w:rPr>
        <w:fldChar w:fldCharType="separate"/>
      </w:r>
      <w:r w:rsidR="00363D25">
        <w:rPr>
          <w:webHidden/>
        </w:rPr>
        <w:t>21</w:t>
      </w:r>
      <w:r>
        <w:rPr>
          <w:webHidden/>
        </w:rPr>
        <w:fldChar w:fldCharType="end"/>
      </w:r>
      <w:r>
        <w:fldChar w:fldCharType="end"/>
      </w:r>
    </w:p>
    <w:p w:rsidR="00116712" w14:paraId="4C63EB38" w14:textId="20DB87EF">
      <w:pPr>
        <w:pStyle w:val="TOC3"/>
        <w:rPr>
          <w:rFonts w:asciiTheme="minorHAnsi" w:eastAsiaTheme="minorEastAsia" w:hAnsiTheme="minorHAnsi"/>
          <w:lang w:val="en-AU" w:eastAsia="en-AU"/>
        </w:rPr>
      </w:pPr>
      <w:r>
        <w:fldChar w:fldCharType="begin"/>
      </w:r>
      <w:r>
        <w:instrText xml:space="preserve"> HYPERLINK \l "_Toc15488357" </w:instrText>
      </w:r>
      <w:r>
        <w:fldChar w:fldCharType="separate"/>
      </w:r>
      <w:r w:rsidRPr="00D71855">
        <w:rPr>
          <w:rStyle w:val="Hyperlink"/>
        </w:rPr>
        <w:t>Claim development</w:t>
      </w:r>
      <w:r>
        <w:rPr>
          <w:webHidden/>
        </w:rPr>
        <w:tab/>
      </w:r>
      <w:r>
        <w:rPr>
          <w:webHidden/>
        </w:rPr>
        <w:fldChar w:fldCharType="begin"/>
      </w:r>
      <w:r>
        <w:rPr>
          <w:webHidden/>
        </w:rPr>
        <w:instrText xml:space="preserve"> PAGEREF _Toc15488357 \h </w:instrText>
      </w:r>
      <w:r>
        <w:rPr>
          <w:webHidden/>
        </w:rPr>
        <w:fldChar w:fldCharType="separate"/>
      </w:r>
      <w:r w:rsidR="00363D25">
        <w:rPr>
          <w:webHidden/>
        </w:rPr>
        <w:t>25</w:t>
      </w:r>
      <w:r>
        <w:rPr>
          <w:webHidden/>
        </w:rPr>
        <w:fldChar w:fldCharType="end"/>
      </w:r>
      <w:r>
        <w:fldChar w:fldCharType="end"/>
      </w:r>
    </w:p>
    <w:p w:rsidR="00116712" w14:paraId="30439218" w14:textId="4A29CE2F">
      <w:pPr>
        <w:pStyle w:val="TOC2"/>
        <w:rPr>
          <w:rFonts w:asciiTheme="minorHAnsi" w:eastAsiaTheme="minorEastAsia" w:hAnsiTheme="minorHAnsi"/>
          <w:noProof/>
          <w:lang w:eastAsia="en-AU"/>
        </w:rPr>
      </w:pPr>
      <w:r>
        <w:fldChar w:fldCharType="begin"/>
      </w:r>
      <w:r>
        <w:instrText xml:space="preserve"> HYPERLINK \l "_Toc15488358" </w:instrText>
      </w:r>
      <w:r>
        <w:fldChar w:fldCharType="separate"/>
      </w:r>
      <w:r w:rsidRPr="00D71855">
        <w:rPr>
          <w:rStyle w:val="Hyperlink"/>
          <w:noProof/>
        </w:rPr>
        <w:t>6. Claim payments information</w:t>
      </w:r>
      <w:r>
        <w:rPr>
          <w:noProof/>
          <w:webHidden/>
        </w:rPr>
        <w:tab/>
      </w:r>
      <w:r>
        <w:rPr>
          <w:noProof/>
          <w:webHidden/>
        </w:rPr>
        <w:fldChar w:fldCharType="begin"/>
      </w:r>
      <w:r>
        <w:rPr>
          <w:noProof/>
          <w:webHidden/>
        </w:rPr>
        <w:instrText xml:space="preserve"> PAGEREF _Toc15488358 \h </w:instrText>
      </w:r>
      <w:r>
        <w:rPr>
          <w:noProof/>
          <w:webHidden/>
        </w:rPr>
        <w:fldChar w:fldCharType="separate"/>
      </w:r>
      <w:r w:rsidR="00363D25">
        <w:rPr>
          <w:noProof/>
          <w:webHidden/>
        </w:rPr>
        <w:t>28</w:t>
      </w:r>
      <w:r>
        <w:rPr>
          <w:noProof/>
          <w:webHidden/>
        </w:rPr>
        <w:fldChar w:fldCharType="end"/>
      </w:r>
      <w:r>
        <w:fldChar w:fldCharType="end"/>
      </w:r>
    </w:p>
    <w:p w:rsidR="00116712" w14:paraId="2B4878E3" w14:textId="2F4FD300">
      <w:pPr>
        <w:pStyle w:val="TOC3"/>
        <w:rPr>
          <w:rFonts w:asciiTheme="minorHAnsi" w:eastAsiaTheme="minorEastAsia" w:hAnsiTheme="minorHAnsi"/>
          <w:lang w:val="en-AU" w:eastAsia="en-AU"/>
        </w:rPr>
      </w:pPr>
      <w:r>
        <w:fldChar w:fldCharType="begin"/>
      </w:r>
      <w:r>
        <w:instrText xml:space="preserve"> HYPERLINK \l "_Toc15488359" </w:instrText>
      </w:r>
      <w:r>
        <w:fldChar w:fldCharType="separate"/>
      </w:r>
      <w:r w:rsidRPr="00D71855">
        <w:rPr>
          <w:rStyle w:val="Hyperlink"/>
        </w:rPr>
        <w:t>Claim payment development</w:t>
      </w:r>
      <w:r>
        <w:rPr>
          <w:webHidden/>
        </w:rPr>
        <w:tab/>
      </w:r>
      <w:r>
        <w:rPr>
          <w:webHidden/>
        </w:rPr>
        <w:fldChar w:fldCharType="begin"/>
      </w:r>
      <w:r>
        <w:rPr>
          <w:webHidden/>
        </w:rPr>
        <w:instrText xml:space="preserve"> PAGEREF _Toc15488359 \h </w:instrText>
      </w:r>
      <w:r>
        <w:rPr>
          <w:webHidden/>
        </w:rPr>
        <w:fldChar w:fldCharType="separate"/>
      </w:r>
      <w:r w:rsidR="00363D25">
        <w:rPr>
          <w:webHidden/>
        </w:rPr>
        <w:t>31</w:t>
      </w:r>
      <w:r>
        <w:rPr>
          <w:webHidden/>
        </w:rPr>
        <w:fldChar w:fldCharType="end"/>
      </w:r>
      <w:r>
        <w:fldChar w:fldCharType="end"/>
      </w:r>
    </w:p>
    <w:p w:rsidR="00116712" w14:paraId="165271F6" w14:textId="5628C4CE">
      <w:pPr>
        <w:pStyle w:val="TOC2"/>
        <w:rPr>
          <w:rFonts w:asciiTheme="minorHAnsi" w:eastAsiaTheme="minorEastAsia" w:hAnsiTheme="minorHAnsi"/>
          <w:noProof/>
          <w:lang w:eastAsia="en-AU"/>
        </w:rPr>
      </w:pPr>
      <w:r>
        <w:fldChar w:fldCharType="begin"/>
      </w:r>
      <w:r>
        <w:instrText xml:space="preserve"> HYPERLINK \l "_Toc15488360" </w:instrText>
      </w:r>
      <w:r>
        <w:fldChar w:fldCharType="separate"/>
      </w:r>
      <w:r w:rsidRPr="00D71855">
        <w:rPr>
          <w:rStyle w:val="Hyperlink"/>
          <w:noProof/>
        </w:rPr>
        <w:t>7. Premiums and claim costs</w:t>
      </w:r>
      <w:r>
        <w:rPr>
          <w:noProof/>
          <w:webHidden/>
        </w:rPr>
        <w:tab/>
      </w:r>
      <w:r>
        <w:rPr>
          <w:noProof/>
          <w:webHidden/>
        </w:rPr>
        <w:fldChar w:fldCharType="begin"/>
      </w:r>
      <w:r>
        <w:rPr>
          <w:noProof/>
          <w:webHidden/>
        </w:rPr>
        <w:instrText xml:space="preserve"> PAGEREF _Toc15488360 \h </w:instrText>
      </w:r>
      <w:r>
        <w:rPr>
          <w:noProof/>
          <w:webHidden/>
        </w:rPr>
        <w:fldChar w:fldCharType="separate"/>
      </w:r>
      <w:r w:rsidR="00363D25">
        <w:rPr>
          <w:noProof/>
          <w:webHidden/>
        </w:rPr>
        <w:t>33</w:t>
      </w:r>
      <w:r>
        <w:rPr>
          <w:noProof/>
          <w:webHidden/>
        </w:rPr>
        <w:fldChar w:fldCharType="end"/>
      </w:r>
      <w:r>
        <w:fldChar w:fldCharType="end"/>
      </w:r>
    </w:p>
    <w:p w:rsidR="00116712" w14:paraId="73EAA781" w14:textId="74953D6B">
      <w:pPr>
        <w:pStyle w:val="TOC1"/>
        <w:rPr>
          <w:rFonts w:asciiTheme="minorHAnsi" w:eastAsiaTheme="minorEastAsia" w:hAnsiTheme="minorHAnsi"/>
          <w:noProof/>
          <w:lang w:eastAsia="en-AU"/>
        </w:rPr>
      </w:pPr>
      <w:r>
        <w:fldChar w:fldCharType="begin"/>
      </w:r>
      <w:r>
        <w:instrText xml:space="preserve"> HYPERLINK \l "_Toc15488361" </w:instrText>
      </w:r>
      <w:r>
        <w:fldChar w:fldCharType="separate"/>
      </w:r>
      <w:r w:rsidRPr="00D71855">
        <w:rPr>
          <w:rStyle w:val="Hyperlink"/>
          <w:noProof/>
        </w:rPr>
        <w:t>Part 2: Claims information for policies issued prior to 1 July 2010</w:t>
      </w:r>
      <w:r>
        <w:rPr>
          <w:noProof/>
          <w:webHidden/>
        </w:rPr>
        <w:tab/>
      </w:r>
      <w:r>
        <w:rPr>
          <w:noProof/>
          <w:webHidden/>
        </w:rPr>
        <w:fldChar w:fldCharType="begin"/>
      </w:r>
      <w:r>
        <w:rPr>
          <w:noProof/>
          <w:webHidden/>
        </w:rPr>
        <w:instrText xml:space="preserve"> PAGEREF _Toc15488361 \h </w:instrText>
      </w:r>
      <w:r>
        <w:rPr>
          <w:noProof/>
          <w:webHidden/>
        </w:rPr>
        <w:fldChar w:fldCharType="separate"/>
      </w:r>
      <w:r w:rsidR="00363D25">
        <w:rPr>
          <w:noProof/>
          <w:webHidden/>
        </w:rPr>
        <w:t>35</w:t>
      </w:r>
      <w:r>
        <w:rPr>
          <w:noProof/>
          <w:webHidden/>
        </w:rPr>
        <w:fldChar w:fldCharType="end"/>
      </w:r>
      <w:r>
        <w:fldChar w:fldCharType="end"/>
      </w:r>
    </w:p>
    <w:p w:rsidR="00116712" w14:paraId="0C290876" w14:textId="7D1F608B">
      <w:pPr>
        <w:pStyle w:val="TOC2"/>
        <w:rPr>
          <w:rFonts w:asciiTheme="minorHAnsi" w:eastAsiaTheme="minorEastAsia" w:hAnsiTheme="minorHAnsi"/>
          <w:noProof/>
          <w:lang w:eastAsia="en-AU"/>
        </w:rPr>
      </w:pPr>
      <w:r>
        <w:fldChar w:fldCharType="begin"/>
      </w:r>
      <w:r>
        <w:instrText xml:space="preserve"> HYPERLINK \l "_Toc15488362" </w:instrText>
      </w:r>
      <w:r>
        <w:fldChar w:fldCharType="separate"/>
      </w:r>
      <w:r w:rsidRPr="00D71855">
        <w:rPr>
          <w:rStyle w:val="Hyperlink"/>
          <w:noProof/>
        </w:rPr>
        <w:t>Number of runoff insurer notifications of loss and claims lodged reported</w:t>
      </w:r>
      <w:r>
        <w:rPr>
          <w:noProof/>
          <w:webHidden/>
        </w:rPr>
        <w:tab/>
      </w:r>
      <w:r>
        <w:rPr>
          <w:noProof/>
          <w:webHidden/>
        </w:rPr>
        <w:fldChar w:fldCharType="begin"/>
      </w:r>
      <w:r>
        <w:rPr>
          <w:noProof/>
          <w:webHidden/>
        </w:rPr>
        <w:instrText xml:space="preserve"> PAGEREF _Toc15488362 \h </w:instrText>
      </w:r>
      <w:r>
        <w:rPr>
          <w:noProof/>
          <w:webHidden/>
        </w:rPr>
        <w:fldChar w:fldCharType="separate"/>
      </w:r>
      <w:r w:rsidR="00363D25">
        <w:rPr>
          <w:noProof/>
          <w:webHidden/>
        </w:rPr>
        <w:t>35</w:t>
      </w:r>
      <w:r>
        <w:rPr>
          <w:noProof/>
          <w:webHidden/>
        </w:rPr>
        <w:fldChar w:fldCharType="end"/>
      </w:r>
      <w:r>
        <w:fldChar w:fldCharType="end"/>
      </w:r>
    </w:p>
    <w:p w:rsidR="00116712" w14:paraId="1D364F71" w14:textId="03B9A55C">
      <w:pPr>
        <w:pStyle w:val="TOC2"/>
        <w:rPr>
          <w:rFonts w:asciiTheme="minorHAnsi" w:eastAsiaTheme="minorEastAsia" w:hAnsiTheme="minorHAnsi"/>
          <w:noProof/>
          <w:lang w:eastAsia="en-AU"/>
        </w:rPr>
      </w:pPr>
      <w:r>
        <w:fldChar w:fldCharType="begin"/>
      </w:r>
      <w:r>
        <w:instrText xml:space="preserve"> HYPERLINK \l "_Toc15488363" </w:instrText>
      </w:r>
      <w:r>
        <w:fldChar w:fldCharType="separate"/>
      </w:r>
      <w:r w:rsidRPr="00D71855">
        <w:rPr>
          <w:rStyle w:val="Hyperlink"/>
          <w:noProof/>
        </w:rPr>
        <w:t>Runoff insurer claim payments</w:t>
      </w:r>
      <w:r>
        <w:rPr>
          <w:noProof/>
          <w:webHidden/>
        </w:rPr>
        <w:tab/>
      </w:r>
      <w:r>
        <w:rPr>
          <w:noProof/>
          <w:webHidden/>
        </w:rPr>
        <w:fldChar w:fldCharType="begin"/>
      </w:r>
      <w:r>
        <w:rPr>
          <w:noProof/>
          <w:webHidden/>
        </w:rPr>
        <w:instrText xml:space="preserve"> PAGEREF _Toc15488363 \h </w:instrText>
      </w:r>
      <w:r>
        <w:rPr>
          <w:noProof/>
          <w:webHidden/>
        </w:rPr>
        <w:fldChar w:fldCharType="separate"/>
      </w:r>
      <w:r w:rsidR="00363D25">
        <w:rPr>
          <w:noProof/>
          <w:webHidden/>
        </w:rPr>
        <w:t>40</w:t>
      </w:r>
      <w:r>
        <w:rPr>
          <w:noProof/>
          <w:webHidden/>
        </w:rPr>
        <w:fldChar w:fldCharType="end"/>
      </w:r>
      <w:r>
        <w:fldChar w:fldCharType="end"/>
      </w:r>
    </w:p>
    <w:p w:rsidR="00116712" w14:paraId="47925AD9" w14:textId="7B61E459">
      <w:pPr>
        <w:pStyle w:val="TOC1"/>
        <w:rPr>
          <w:rFonts w:asciiTheme="minorHAnsi" w:eastAsiaTheme="minorEastAsia" w:hAnsiTheme="minorHAnsi"/>
          <w:noProof/>
          <w:lang w:eastAsia="en-AU"/>
        </w:rPr>
      </w:pPr>
      <w:r>
        <w:fldChar w:fldCharType="begin"/>
      </w:r>
      <w:r>
        <w:instrText xml:space="preserve"> HYPERLINK \l "_Toc15488364" </w:instrText>
      </w:r>
      <w:r>
        <w:fldChar w:fldCharType="separate"/>
      </w:r>
      <w:r w:rsidRPr="00D71855">
        <w:rPr>
          <w:rStyle w:val="Hyperlink"/>
          <w:noProof/>
        </w:rPr>
        <w:t>Appendices</w:t>
      </w:r>
      <w:r>
        <w:rPr>
          <w:noProof/>
          <w:webHidden/>
        </w:rPr>
        <w:tab/>
      </w:r>
      <w:r>
        <w:rPr>
          <w:noProof/>
          <w:webHidden/>
        </w:rPr>
        <w:fldChar w:fldCharType="begin"/>
      </w:r>
      <w:r>
        <w:rPr>
          <w:noProof/>
          <w:webHidden/>
        </w:rPr>
        <w:instrText xml:space="preserve"> PAGEREF _Toc15488364 \h </w:instrText>
      </w:r>
      <w:r>
        <w:rPr>
          <w:noProof/>
          <w:webHidden/>
        </w:rPr>
        <w:fldChar w:fldCharType="separate"/>
      </w:r>
      <w:r w:rsidR="00363D25">
        <w:rPr>
          <w:noProof/>
          <w:webHidden/>
        </w:rPr>
        <w:t>42</w:t>
      </w:r>
      <w:r>
        <w:rPr>
          <w:noProof/>
          <w:webHidden/>
        </w:rPr>
        <w:fldChar w:fldCharType="end"/>
      </w:r>
      <w:r>
        <w:fldChar w:fldCharType="end"/>
      </w:r>
    </w:p>
    <w:p w:rsidR="00116712" w14:paraId="54B40488" w14:textId="1EA66FEF">
      <w:pPr>
        <w:pStyle w:val="TOC2"/>
        <w:rPr>
          <w:rFonts w:asciiTheme="minorHAnsi" w:eastAsiaTheme="minorEastAsia" w:hAnsiTheme="minorHAnsi"/>
          <w:noProof/>
          <w:lang w:eastAsia="en-AU"/>
        </w:rPr>
      </w:pPr>
      <w:r>
        <w:fldChar w:fldCharType="begin"/>
      </w:r>
      <w:r>
        <w:instrText xml:space="preserve"> HYPERLINK \l "_Toc15488365" </w:instrText>
      </w:r>
      <w:r>
        <w:fldChar w:fldCharType="separate"/>
      </w:r>
      <w:r w:rsidRPr="00D71855">
        <w:rPr>
          <w:rStyle w:val="Hyperlink"/>
          <w:noProof/>
        </w:rPr>
        <w:t>Appendix 1 - Home building compensation scheme changes in NSW</w:t>
      </w:r>
      <w:r>
        <w:rPr>
          <w:noProof/>
          <w:webHidden/>
        </w:rPr>
        <w:tab/>
      </w:r>
      <w:r>
        <w:rPr>
          <w:noProof/>
          <w:webHidden/>
        </w:rPr>
        <w:fldChar w:fldCharType="begin"/>
      </w:r>
      <w:r>
        <w:rPr>
          <w:noProof/>
          <w:webHidden/>
        </w:rPr>
        <w:instrText xml:space="preserve"> PAGEREF _Toc15488365 \h </w:instrText>
      </w:r>
      <w:r>
        <w:rPr>
          <w:noProof/>
          <w:webHidden/>
        </w:rPr>
        <w:fldChar w:fldCharType="separate"/>
      </w:r>
      <w:r w:rsidR="00363D25">
        <w:rPr>
          <w:noProof/>
          <w:webHidden/>
        </w:rPr>
        <w:t>42</w:t>
      </w:r>
      <w:r>
        <w:rPr>
          <w:noProof/>
          <w:webHidden/>
        </w:rPr>
        <w:fldChar w:fldCharType="end"/>
      </w:r>
      <w:r>
        <w:fldChar w:fldCharType="end"/>
      </w:r>
    </w:p>
    <w:p w:rsidR="00116712" w14:paraId="191EBD1C" w14:textId="7368DA31">
      <w:pPr>
        <w:pStyle w:val="TOC2"/>
        <w:rPr>
          <w:rFonts w:asciiTheme="minorHAnsi" w:eastAsiaTheme="minorEastAsia" w:hAnsiTheme="minorHAnsi"/>
          <w:noProof/>
          <w:lang w:eastAsia="en-AU"/>
        </w:rPr>
      </w:pPr>
      <w:r>
        <w:fldChar w:fldCharType="begin"/>
      </w:r>
      <w:r>
        <w:instrText xml:space="preserve"> HYPERLINK \l "_Toc15488366" </w:instrText>
      </w:r>
      <w:r>
        <w:fldChar w:fldCharType="separate"/>
      </w:r>
      <w:r w:rsidRPr="00D71855">
        <w:rPr>
          <w:rStyle w:val="Hyperlink"/>
          <w:noProof/>
        </w:rPr>
        <w:t>Appendix 2 - Glossary</w:t>
      </w:r>
      <w:r>
        <w:rPr>
          <w:noProof/>
          <w:webHidden/>
        </w:rPr>
        <w:tab/>
      </w:r>
      <w:r>
        <w:rPr>
          <w:noProof/>
          <w:webHidden/>
        </w:rPr>
        <w:fldChar w:fldCharType="begin"/>
      </w:r>
      <w:r>
        <w:rPr>
          <w:noProof/>
          <w:webHidden/>
        </w:rPr>
        <w:instrText xml:space="preserve"> PAGEREF _Toc15488366 \h </w:instrText>
      </w:r>
      <w:r>
        <w:rPr>
          <w:noProof/>
          <w:webHidden/>
        </w:rPr>
        <w:fldChar w:fldCharType="separate"/>
      </w:r>
      <w:r w:rsidR="00363D25">
        <w:rPr>
          <w:noProof/>
          <w:webHidden/>
        </w:rPr>
        <w:t>45</w:t>
      </w:r>
      <w:r>
        <w:rPr>
          <w:noProof/>
          <w:webHidden/>
        </w:rPr>
        <w:fldChar w:fldCharType="end"/>
      </w:r>
      <w:r>
        <w:fldChar w:fldCharType="end"/>
      </w:r>
    </w:p>
    <w:p w:rsidR="00116712" w14:paraId="4B499DA2" w14:textId="1F174488">
      <w:pPr>
        <w:pStyle w:val="TOC2"/>
        <w:rPr>
          <w:rFonts w:asciiTheme="minorHAnsi" w:eastAsiaTheme="minorEastAsia" w:hAnsiTheme="minorHAnsi"/>
          <w:noProof/>
          <w:lang w:eastAsia="en-AU"/>
        </w:rPr>
      </w:pPr>
      <w:r>
        <w:fldChar w:fldCharType="begin"/>
      </w:r>
      <w:r>
        <w:instrText xml:space="preserve"> HYPERLINK \l "_Toc15488367" </w:instrText>
      </w:r>
      <w:r>
        <w:fldChar w:fldCharType="separate"/>
      </w:r>
      <w:r w:rsidRPr="00D71855">
        <w:rPr>
          <w:rStyle w:val="Hyperlink"/>
          <w:noProof/>
        </w:rPr>
        <w:t>Appendix 3 - Data quality statement</w:t>
      </w:r>
      <w:r>
        <w:rPr>
          <w:noProof/>
          <w:webHidden/>
        </w:rPr>
        <w:tab/>
      </w:r>
      <w:r>
        <w:rPr>
          <w:noProof/>
          <w:webHidden/>
        </w:rPr>
        <w:fldChar w:fldCharType="begin"/>
      </w:r>
      <w:r>
        <w:rPr>
          <w:noProof/>
          <w:webHidden/>
        </w:rPr>
        <w:instrText xml:space="preserve"> PAGEREF _Toc15488367 \h </w:instrText>
      </w:r>
      <w:r>
        <w:rPr>
          <w:noProof/>
          <w:webHidden/>
        </w:rPr>
        <w:fldChar w:fldCharType="separate"/>
      </w:r>
      <w:r w:rsidR="00363D25">
        <w:rPr>
          <w:noProof/>
          <w:webHidden/>
        </w:rPr>
        <w:t>47</w:t>
      </w:r>
      <w:r>
        <w:rPr>
          <w:noProof/>
          <w:webHidden/>
        </w:rPr>
        <w:fldChar w:fldCharType="end"/>
      </w:r>
      <w:r>
        <w:fldChar w:fldCharType="end"/>
      </w:r>
    </w:p>
    <w:p w:rsidR="00DA2017" w:rsidP="00FE2BB4" w14:paraId="1E46020E" w14:textId="5F956FC3">
      <w:pPr>
        <w:pStyle w:val="Heading1"/>
        <w:rPr>
          <w:noProof/>
        </w:rPr>
      </w:pPr>
      <w:r w:rsidRPr="008E1AE3">
        <w:rPr>
          <w:noProof/>
        </w:rPr>
        <w:fldChar w:fldCharType="end"/>
      </w:r>
      <w:bookmarkStart w:id="40" w:name="_Toc461002642"/>
      <w:r w:rsidRPr="008E1AE3" w:rsidR="00004108">
        <w:rPr>
          <w:noProof/>
        </w:rPr>
        <w:br w:type="page"/>
      </w:r>
    </w:p>
    <w:p w:rsidR="000C0494" w:rsidP="002551DD" w14:paraId="2AAB6C4A" w14:textId="3D23A7E3">
      <w:pPr>
        <w:pStyle w:val="Heading1"/>
        <w:rPr>
          <w:noProof/>
        </w:rPr>
      </w:pPr>
      <w:bookmarkStart w:id="41" w:name="_Toc4483512"/>
      <w:bookmarkStart w:id="42" w:name="_Toc4485203"/>
      <w:bookmarkStart w:id="43" w:name="_Toc15488342"/>
      <w:r w:rsidRPr="008E1AE3">
        <w:rPr>
          <w:noProof/>
        </w:rPr>
        <w:t>Highlights</w:t>
      </w:r>
      <w:bookmarkEnd w:id="41"/>
      <w:bookmarkEnd w:id="42"/>
      <w:bookmarkEnd w:id="43"/>
    </w:p>
    <w:p w:rsidR="00B043BE" w:rsidP="00B043BE" w14:paraId="1BEC7D9E" w14:textId="784B5C81">
      <w:pPr>
        <w:spacing w:before="0" w:after="0" w:line="240" w:lineRule="auto"/>
      </w:pPr>
      <w:r>
        <w:rPr>
          <w:noProof/>
        </w:rPr>
        <w:drawing>
          <wp:inline distT="0" distB="0" distL="0" distR="0">
            <wp:extent cx="6609600" cy="1872000"/>
            <wp:effectExtent l="0" t="0" r="1270" b="0"/>
            <wp:docPr id="4" name="Picture 4" descr="Eligible builders increased by 5%. As at 30 June 2018, there were 18,881 eligible builders compared to 18,007 as at 30 June 2017.&#10;&#10;Average eligibility open job limit increased by 17%. As at 30 June 2018, the limit is $2.33 million compared to $1.99 million as at 30 Jun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754326" name="Eligibility.jp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609600" cy="1872000"/>
                    </a:xfrm>
                    <a:prstGeom prst="rect">
                      <a:avLst/>
                    </a:prstGeom>
                  </pic:spPr>
                </pic:pic>
              </a:graphicData>
            </a:graphic>
          </wp:inline>
        </w:drawing>
      </w:r>
    </w:p>
    <w:p w:rsidR="00B043BE" w:rsidP="005306DB" w14:paraId="7E28C8DB" w14:textId="09EF5A90">
      <w:pPr>
        <w:spacing w:before="0" w:after="20" w:line="240" w:lineRule="auto"/>
      </w:pPr>
      <w:r>
        <w:rPr>
          <w:noProof/>
        </w:rPr>
        <w:drawing>
          <wp:inline distT="0" distB="0" distL="0" distR="0">
            <wp:extent cx="6616800" cy="1497600"/>
            <wp:effectExtent l="0" t="0" r="0" b="7620"/>
            <wp:docPr id="218482754" name="Picture 218482754" descr="Eligible builders with security increased by 15%. As at 30 June 2018, there were 3,812 builders with security compared to 3,329 as at 30 June 2017.&#10;&#10;Average value of security increased by 13%. As at 30 June 2018, the value is $241,000 compared to $214,000 as at 30 Jun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721326" name="Eligibility.jp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6616800" cy="1497600"/>
                    </a:xfrm>
                    <a:prstGeom prst="rect">
                      <a:avLst/>
                    </a:prstGeom>
                  </pic:spPr>
                </pic:pic>
              </a:graphicData>
            </a:graphic>
          </wp:inline>
        </w:drawing>
      </w:r>
    </w:p>
    <w:p w:rsidR="00B043BE" w:rsidP="005306DB" w14:paraId="3E71E9AE" w14:textId="6A2217A4">
      <w:pPr>
        <w:spacing w:before="0" w:after="20" w:line="240" w:lineRule="auto"/>
      </w:pPr>
      <w:r>
        <w:rPr>
          <w:noProof/>
        </w:rPr>
        <w:drawing>
          <wp:inline distT="0" distB="0" distL="0" distR="0">
            <wp:extent cx="6624000" cy="3402000"/>
            <wp:effectExtent l="0" t="0" r="5715" b="8255"/>
            <wp:docPr id="218482756" name="Picture 218482756" descr="Certificate of insurance issued per year increased by 7%. In 2017/18, 78,440 certificates were issued compared to 73,487 in 2016/17.&#10;&#10;The certificates issued per quarter increased by 12%. In June 2018 quarter, there were 21,331 certificates compared to 19,094 in June 2017 quarter.&#10;&#10;Value of building work insured per year increased by 8%. In 2017/18, the value is $17.9 billion compared to $16.5 billion in 2016/17.&#10;&#10;Comparing June 2018 quarter to June 2017 quarter, the value of building work insured increased by 19%.  In June 2018 quarter, it is $5.1 billion compared to $4.3 billon in June 2017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81460" name="Eligibility.jp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6624000" cy="3402000"/>
                    </a:xfrm>
                    <a:prstGeom prst="rect">
                      <a:avLst/>
                    </a:prstGeom>
                  </pic:spPr>
                </pic:pic>
              </a:graphicData>
            </a:graphic>
          </wp:inline>
        </w:drawing>
      </w:r>
    </w:p>
    <w:p w:rsidR="00B043BE" w:rsidRPr="00B043BE" w:rsidP="00B043BE" w14:paraId="38F1D29C" w14:textId="2C7ED7EB">
      <w:pPr>
        <w:spacing w:before="0" w:after="0" w:line="240" w:lineRule="auto"/>
      </w:pPr>
      <w:r>
        <w:rPr>
          <w:noProof/>
        </w:rPr>
        <w:drawing>
          <wp:inline distT="0" distB="0" distL="0" distR="0">
            <wp:extent cx="6616800" cy="1688400"/>
            <wp:effectExtent l="0" t="0" r="0" b="7620"/>
            <wp:docPr id="218482757" name="Picture 218482757" descr="Total premium reported (excluding GST, stamp duty and charges) per year is up by 29%. In 2017/18, the total premium reported is $132 million compared to $102 million in 2016/17.&#10;&#10;Average premium rate per year increased by 19%. In 2017/18, the average premium is 0.74% compared to 0.62% in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408787" name="Eligibility.jp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6616800" cy="1688400"/>
                    </a:xfrm>
                    <a:prstGeom prst="rect">
                      <a:avLst/>
                    </a:prstGeom>
                  </pic:spPr>
                </pic:pic>
              </a:graphicData>
            </a:graphic>
          </wp:inline>
        </w:drawing>
      </w:r>
    </w:p>
    <w:p w:rsidR="004C0A85" w14:paraId="7D6EAACA" w14:textId="77777777">
      <w:bookmarkStart w:id="44" w:name="_Hlk5869117"/>
      <w:bookmarkStart w:id="45" w:name="_Hlk5801899"/>
      <w:r>
        <w:br w:type="page"/>
      </w:r>
    </w:p>
    <w:p w:rsidR="007F1E47" w:rsidP="00B92764" w14:paraId="647876FD" w14:textId="76B275E7">
      <w:pPr>
        <w:spacing w:before="0" w:after="0"/>
        <w:rPr>
          <w:noProof/>
        </w:rPr>
      </w:pPr>
      <w:bookmarkStart w:id="46" w:name="_Toc518654976"/>
      <w:bookmarkStart w:id="47" w:name="_Toc530651471"/>
      <w:bookmarkStart w:id="48" w:name="_Toc530652099"/>
      <w:bookmarkStart w:id="49" w:name="_Toc530663748"/>
      <w:bookmarkStart w:id="50" w:name="_Toc530672027"/>
      <w:bookmarkStart w:id="51" w:name="_Toc530672503"/>
      <w:bookmarkStart w:id="52" w:name="_Toc530674169"/>
      <w:bookmarkStart w:id="53" w:name="_Toc531180073"/>
      <w:bookmarkStart w:id="54" w:name="_Toc531181912"/>
      <w:bookmarkEnd w:id="40"/>
      <w:bookmarkEnd w:id="44"/>
      <w:bookmarkEnd w:id="45"/>
      <w:r>
        <w:rPr>
          <w:noProof/>
        </w:rPr>
        <w:drawing>
          <wp:inline distT="0" distB="0" distL="0" distR="0">
            <wp:extent cx="6757200" cy="1976400"/>
            <wp:effectExtent l="0" t="0" r="5715" b="5080"/>
            <wp:docPr id="218482758" name="Picture 218482758" descr="There were 762 notifications of loss lodged in 2017/18 (year of notification). There were 316 claims lodged in that period.&#10;&#10;Claims lodged in June 2018 quarter compared to 2017 decreased by 26%. In June 2018 quarter there are 78 claims lodged. In June 2017 quarter there were 105 clai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156522" name="Claims.jp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6757200" cy="1976400"/>
                    </a:xfrm>
                    <a:prstGeom prst="rect">
                      <a:avLst/>
                    </a:prstGeom>
                  </pic:spPr>
                </pic:pic>
              </a:graphicData>
            </a:graphic>
          </wp:inline>
        </w:drawing>
      </w:r>
    </w:p>
    <w:p w:rsidR="00B92764" w:rsidP="00FA31B6" w14:paraId="37620951" w14:textId="365FF3B9">
      <w:pPr>
        <w:spacing w:before="0" w:after="480"/>
        <w:rPr>
          <w:noProof/>
        </w:rPr>
      </w:pPr>
      <w:r>
        <w:rPr>
          <w:noProof/>
        </w:rPr>
        <w:drawing>
          <wp:inline distT="0" distB="0" distL="0" distR="0">
            <wp:extent cx="6760800" cy="1809828"/>
            <wp:effectExtent l="0" t="0" r="2540" b="0"/>
            <wp:docPr id="218482759" name="Picture 218482759" descr="Total claims per year is up by 33%. In 2017/18, the total claim payments is $55.1 million compared to $41.6 million in 2016/17.&#10;&#10;Total claim payments per quarter increased by 6%. In June 2018 quarter, the total claim payments is at $11.5 million compared to $10.9 million in 2016/17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83802" name="Claims.jp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6760800" cy="1809828"/>
                    </a:xfrm>
                    <a:prstGeom prst="rect">
                      <a:avLst/>
                    </a:prstGeom>
                  </pic:spPr>
                </pic:pic>
              </a:graphicData>
            </a:graphic>
          </wp:inline>
        </w:drawing>
      </w:r>
    </w:p>
    <w:p w:rsidR="00B92764" w:rsidRPr="008E1AE3" w:rsidP="00B92764" w14:paraId="1A15D46E" w14:textId="2D470DD2">
      <w:pPr>
        <w:spacing w:before="0" w:after="0"/>
        <w:rPr>
          <w:noProof/>
        </w:rPr>
      </w:pPr>
      <w:r>
        <w:rPr>
          <w:noProof/>
        </w:rPr>
        <w:drawing>
          <wp:inline distT="0" distB="0" distL="0" distR="0">
            <wp:extent cx="6760800" cy="1795615"/>
            <wp:effectExtent l="0" t="0" r="2540" b="0"/>
            <wp:docPr id="218482760" name="Picture 218482760" descr="Runoff insurer notifications of loss and claims lodged (year of notification) decreased by 76%. In 2017/18, there were 25 notifications compared to 104 in 2016/17.&#10;&#10;Runoff claims lodged per quarter decreased by 87%. In June 2018 quarter, there were two runoff claims lodged compared to 15 in June 2017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810435" name="Claims.jp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6760800" cy="1795615"/>
                    </a:xfrm>
                    <a:prstGeom prst="rect">
                      <a:avLst/>
                    </a:prstGeom>
                  </pic:spPr>
                </pic:pic>
              </a:graphicData>
            </a:graphic>
          </wp:inline>
        </w:drawing>
      </w:r>
    </w:p>
    <w:p w:rsidR="00B92764" w:rsidP="00B92764" w14:paraId="1F21880C" w14:textId="646D092D">
      <w:pPr>
        <w:spacing w:before="0" w:after="0"/>
        <w:rPr>
          <w:noProof/>
        </w:rPr>
      </w:pPr>
      <w:r>
        <w:rPr>
          <w:noProof/>
        </w:rPr>
        <w:drawing>
          <wp:inline distT="0" distB="0" distL="0" distR="0">
            <wp:extent cx="6746400" cy="2016000"/>
            <wp:effectExtent l="0" t="0" r="0" b="3810"/>
            <wp:docPr id="218482761" name="Picture 218482761" descr="Total runoff claim payments per year decreased by 24%. In 2017/18, the total claim payments is $35.7 million compared to $46.8 million in 2016/17.&#10;&#10;Total runoff claim payments per quarter decreased by 17%. In June 2018 quarter, the total runoff claim payments is at $10.3 million compared to $12.5 million in June 2017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219566" name="Claims.jp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6746400" cy="2016000"/>
                    </a:xfrm>
                    <a:prstGeom prst="rect">
                      <a:avLst/>
                    </a:prstGeom>
                  </pic:spPr>
                </pic:pic>
              </a:graphicData>
            </a:graphic>
          </wp:inline>
        </w:drawing>
      </w:r>
    </w:p>
    <w:p w:rsidR="004A6998" w:rsidRPr="008E1AE3" w:rsidP="00584AAF" w14:paraId="7EC99E03" w14:textId="526FA2F7">
      <w:pPr>
        <w:pStyle w:val="Heading1"/>
        <w:rPr>
          <w:noProof/>
        </w:rPr>
      </w:pPr>
      <w:r w:rsidRPr="008E1AE3">
        <w:rPr>
          <w:noProof/>
        </w:rPr>
        <w:br w:type="page"/>
      </w:r>
      <w:bookmarkStart w:id="55" w:name="_Toc2073630"/>
      <w:bookmarkStart w:id="56" w:name="_Toc2083950"/>
      <w:bookmarkStart w:id="57" w:name="_Toc2085872"/>
      <w:bookmarkStart w:id="58" w:name="_Toc4144925"/>
      <w:bookmarkStart w:id="59" w:name="_Toc4483513"/>
      <w:bookmarkStart w:id="60" w:name="_Toc4485204"/>
      <w:bookmarkStart w:id="61" w:name="_Toc15488343"/>
      <w:r w:rsidRPr="008E1AE3">
        <w:rPr>
          <w:noProof/>
        </w:rPr>
        <w:t>Introduction</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8E1AE3">
        <w:rPr>
          <w:noProof/>
        </w:rPr>
        <w:t xml:space="preserve"> </w:t>
      </w:r>
    </w:p>
    <w:p w:rsidR="004A6998" w:rsidRPr="008E1AE3" w:rsidP="004A6998" w14:paraId="17BFCB82" w14:textId="67634E45">
      <w:pPr>
        <w:pStyle w:val="Heading2"/>
        <w:rPr>
          <w:noProof/>
        </w:rPr>
      </w:pPr>
      <w:bookmarkStart w:id="62" w:name="_Toc518654977"/>
      <w:bookmarkStart w:id="63" w:name="_Toc530651472"/>
      <w:bookmarkStart w:id="64" w:name="_Toc530652100"/>
      <w:bookmarkStart w:id="65" w:name="_Toc530663749"/>
      <w:bookmarkStart w:id="66" w:name="_Toc530672028"/>
      <w:bookmarkStart w:id="67" w:name="_Toc530672504"/>
      <w:bookmarkStart w:id="68" w:name="_Toc530674170"/>
      <w:bookmarkStart w:id="69" w:name="_Toc531180074"/>
      <w:bookmarkStart w:id="70" w:name="_Toc531181913"/>
      <w:bookmarkStart w:id="71" w:name="_Toc2073631"/>
      <w:bookmarkStart w:id="72" w:name="_Toc2083951"/>
      <w:bookmarkStart w:id="73" w:name="_Toc2085873"/>
      <w:bookmarkStart w:id="74" w:name="_Toc4144926"/>
      <w:bookmarkStart w:id="75" w:name="_Toc4483514"/>
      <w:bookmarkStart w:id="76" w:name="_Toc4485205"/>
      <w:bookmarkStart w:id="77" w:name="_Toc15488344"/>
      <w:r w:rsidRPr="008E1AE3">
        <w:rPr>
          <w:noProof/>
        </w:rPr>
        <w:t>Preamble</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rsidR="0043645B" w:rsidRPr="008E1AE3" w:rsidP="0012565E" w14:paraId="2613746A" w14:textId="32CC625B">
      <w:r w:rsidRPr="008E1AE3">
        <w:rPr>
          <w:rFonts w:eastAsia="Gotham Book" w:cs="Gotham Book"/>
          <w:noProof/>
        </w:rPr>
        <w:t xml:space="preserve">The Home Building Compensation (HBC) Scheme is governed by the </w:t>
      </w:r>
      <w:r w:rsidRPr="008E1AE3">
        <w:rPr>
          <w:rFonts w:eastAsia="Gotham Book" w:cs="Gotham Book"/>
          <w:i/>
          <w:iCs/>
          <w:noProof/>
        </w:rPr>
        <w:t xml:space="preserve">Home Building Act 1989. </w:t>
      </w:r>
      <w:r w:rsidRPr="008E1AE3">
        <w:rPr>
          <w:rFonts w:eastAsia="Gotham Book" w:cs="Gotham Book"/>
          <w:noProof/>
        </w:rPr>
        <w:t xml:space="preserve">The Scheme provides a last-resort safety net for homeowners in NSW faced with incomplete and defective building work carried out by licensed builders and </w:t>
      </w:r>
      <w:r w:rsidR="00697D68">
        <w:rPr>
          <w:rFonts w:eastAsia="Gotham Book" w:cs="Gotham Book"/>
          <w:noProof/>
        </w:rPr>
        <w:t xml:space="preserve">trades or specialists </w:t>
      </w:r>
      <w:r w:rsidRPr="008E1AE3">
        <w:rPr>
          <w:rFonts w:eastAsia="Gotham Book" w:cs="Gotham Book"/>
          <w:noProof/>
        </w:rPr>
        <w:t xml:space="preserve">contractors. Residential building work over $20,000 including GST is </w:t>
      </w:r>
      <w:r w:rsidR="00697D68">
        <w:rPr>
          <w:rFonts w:eastAsia="Gotham Book" w:cs="Gotham Book"/>
          <w:noProof/>
        </w:rPr>
        <w:t>insured</w:t>
      </w:r>
      <w:r w:rsidRPr="008E1AE3" w:rsidR="00697D68">
        <w:rPr>
          <w:rFonts w:eastAsia="Gotham Book" w:cs="Gotham Book"/>
          <w:noProof/>
        </w:rPr>
        <w:t xml:space="preserve"> </w:t>
      </w:r>
      <w:r w:rsidRPr="008E1AE3">
        <w:rPr>
          <w:rFonts w:eastAsia="Gotham Book" w:cs="Gotham Book"/>
          <w:noProof/>
        </w:rPr>
        <w:t xml:space="preserve">under the Scheme, unless exempt. </w:t>
      </w:r>
      <w:r w:rsidR="00697D68">
        <w:rPr>
          <w:rFonts w:eastAsia="Gotham Book" w:cs="Gotham Book"/>
          <w:noProof/>
        </w:rPr>
        <w:t>Work that is e</w:t>
      </w:r>
      <w:r w:rsidRPr="008E1AE3">
        <w:rPr>
          <w:rFonts w:eastAsia="Gotham Book" w:cs="Gotham Book"/>
          <w:noProof/>
        </w:rPr>
        <w:t xml:space="preserve">xempt from </w:t>
      </w:r>
      <w:r w:rsidR="00152E5B">
        <w:rPr>
          <w:rFonts w:eastAsia="Gotham Book" w:cs="Gotham Book"/>
          <w:noProof/>
        </w:rPr>
        <w:t xml:space="preserve">the </w:t>
      </w:r>
      <w:r w:rsidR="00270811">
        <w:rPr>
          <w:rFonts w:eastAsia="Gotham Book" w:cs="Gotham Book"/>
          <w:noProof/>
        </w:rPr>
        <w:t>S</w:t>
      </w:r>
      <w:r w:rsidR="00152E5B">
        <w:rPr>
          <w:rFonts w:eastAsia="Gotham Book" w:cs="Gotham Book"/>
          <w:noProof/>
        </w:rPr>
        <w:t>cheme</w:t>
      </w:r>
      <w:r w:rsidRPr="008E1AE3">
        <w:rPr>
          <w:rFonts w:eastAsia="Gotham Book" w:cs="Gotham Book"/>
          <w:noProof/>
        </w:rPr>
        <w:t xml:space="preserve"> includes work involved in the construction of new multi-storey buildings (buildings with </w:t>
      </w:r>
      <w:r w:rsidRPr="008E1AE3" w:rsidR="00343347">
        <w:rPr>
          <w:rFonts w:eastAsia="Gotham Book" w:cs="Gotham Book"/>
          <w:noProof/>
        </w:rPr>
        <w:t>more than three</w:t>
      </w:r>
      <w:r w:rsidRPr="008E1AE3">
        <w:rPr>
          <w:rFonts w:eastAsia="Gotham Book" w:cs="Gotham Book"/>
          <w:noProof/>
        </w:rPr>
        <w:t xml:space="preserve"> storeys and containing two or more separate home units). </w:t>
      </w:r>
    </w:p>
    <w:p w:rsidR="0043645B" w:rsidRPr="008E1AE3" w:rsidP="0012565E" w14:paraId="330EA4AE" w14:textId="17A9B5EF">
      <w:r w:rsidRPr="008E1AE3">
        <w:rPr>
          <w:rFonts w:eastAsia="Gotham Book" w:cs="Gotham Book"/>
          <w:noProof/>
        </w:rPr>
        <w:t xml:space="preserve">HBC </w:t>
      </w:r>
      <w:r w:rsidR="00152E5B">
        <w:rPr>
          <w:rFonts w:eastAsia="Gotham Book" w:cs="Gotham Book"/>
          <w:noProof/>
        </w:rPr>
        <w:t>insurance</w:t>
      </w:r>
      <w:r w:rsidRPr="008E1AE3" w:rsidR="00152E5B">
        <w:rPr>
          <w:rFonts w:eastAsia="Gotham Book" w:cs="Gotham Book"/>
          <w:noProof/>
        </w:rPr>
        <w:t xml:space="preserve"> </w:t>
      </w:r>
      <w:r w:rsidRPr="008E1AE3">
        <w:rPr>
          <w:rFonts w:eastAsia="Gotham Book" w:cs="Gotham Book"/>
          <w:noProof/>
        </w:rPr>
        <w:t xml:space="preserve">must be at least $340,000, or $300,000 if </w:t>
      </w:r>
      <w:r w:rsidR="00152E5B">
        <w:rPr>
          <w:rFonts w:eastAsia="Gotham Book" w:cs="Gotham Book"/>
          <w:noProof/>
        </w:rPr>
        <w:t>the insurance was</w:t>
      </w:r>
      <w:r w:rsidRPr="008E1AE3" w:rsidR="00152E5B">
        <w:rPr>
          <w:rFonts w:eastAsia="Gotham Book" w:cs="Gotham Book"/>
          <w:noProof/>
        </w:rPr>
        <w:t xml:space="preserve"> </w:t>
      </w:r>
      <w:r w:rsidRPr="008E1AE3">
        <w:rPr>
          <w:rFonts w:eastAsia="Gotham Book" w:cs="Gotham Book"/>
          <w:noProof/>
        </w:rPr>
        <w:t xml:space="preserve">issued before 1 February 2012. The </w:t>
      </w:r>
      <w:r w:rsidR="00152E5B">
        <w:rPr>
          <w:rFonts w:eastAsia="Gotham Book" w:cs="Gotham Book"/>
          <w:noProof/>
        </w:rPr>
        <w:t>insurance</w:t>
      </w:r>
      <w:r w:rsidRPr="008E1AE3" w:rsidR="00152E5B">
        <w:rPr>
          <w:rFonts w:eastAsia="Gotham Book" w:cs="Gotham Book"/>
          <w:noProof/>
        </w:rPr>
        <w:t xml:space="preserve"> </w:t>
      </w:r>
      <w:r w:rsidRPr="008E1AE3">
        <w:rPr>
          <w:rFonts w:eastAsia="Gotham Book" w:cs="Gotham Book"/>
          <w:noProof/>
        </w:rPr>
        <w:t xml:space="preserve">extends to subsequent purchasers of the property (as long as the </w:t>
      </w:r>
      <w:r w:rsidR="00152E5B">
        <w:rPr>
          <w:rFonts w:eastAsia="Gotham Book" w:cs="Gotham Book"/>
          <w:noProof/>
        </w:rPr>
        <w:t>insurance</w:t>
      </w:r>
      <w:r w:rsidRPr="008E1AE3" w:rsidR="00152E5B">
        <w:rPr>
          <w:rFonts w:eastAsia="Gotham Book" w:cs="Gotham Book"/>
          <w:noProof/>
        </w:rPr>
        <w:t xml:space="preserve"> </w:t>
      </w:r>
      <w:r w:rsidRPr="008E1AE3">
        <w:rPr>
          <w:rFonts w:eastAsia="Gotham Book" w:cs="Gotham Book"/>
          <w:noProof/>
        </w:rPr>
        <w:t xml:space="preserve">has not been exhausted by a prior claim). The Scheme was formerly known as the Home Warranty Insurance Scheme, and covered situations where builders or </w:t>
      </w:r>
      <w:r w:rsidR="00152E5B">
        <w:rPr>
          <w:rFonts w:eastAsia="Gotham Book" w:cs="Gotham Book"/>
          <w:noProof/>
        </w:rPr>
        <w:t>contractors</w:t>
      </w:r>
      <w:r w:rsidRPr="008E1AE3" w:rsidR="00152E5B">
        <w:rPr>
          <w:rFonts w:eastAsia="Gotham Book" w:cs="Gotham Book"/>
          <w:noProof/>
        </w:rPr>
        <w:t xml:space="preserve"> </w:t>
      </w:r>
      <w:r w:rsidRPr="008E1AE3">
        <w:rPr>
          <w:rFonts w:eastAsia="Gotham Book" w:cs="Gotham Book"/>
          <w:noProof/>
        </w:rPr>
        <w:t>failed to complete residential building work or to rectify defects.</w:t>
      </w:r>
    </w:p>
    <w:p w:rsidR="0043645B" w:rsidRPr="008E1AE3" w:rsidP="0012565E" w14:paraId="1F235B4D" w14:textId="3CDDB63F">
      <w:r w:rsidRPr="008E1AE3">
        <w:rPr>
          <w:rFonts w:eastAsia="Gotham Book" w:cs="Gotham Book"/>
          <w:noProof/>
        </w:rPr>
        <w:t>From 1 September 2015, the State Insurance Regulatory Authority (SIRA) assumed the regulatory functions of the HBC Scheme, which were previously undertaken by NSW Fair Trading.</w:t>
      </w:r>
    </w:p>
    <w:p w:rsidR="0043645B" w:rsidRPr="008E1AE3" w:rsidP="0012565E" w14:paraId="41D697E9" w14:textId="3D76B027">
      <w:r w:rsidRPr="008E1AE3">
        <w:rPr>
          <w:rFonts w:eastAsia="Gotham Book" w:cs="Gotham Book"/>
          <w:noProof/>
        </w:rPr>
        <w:t>The NSW Self Insurance Corporation (</w:t>
      </w:r>
      <w:r w:rsidR="009357E0">
        <w:rPr>
          <w:rFonts w:eastAsia="Gotham Book" w:cs="Gotham Book"/>
          <w:noProof/>
        </w:rPr>
        <w:t xml:space="preserve">trading as </w:t>
      </w:r>
      <w:r w:rsidRPr="008E1AE3">
        <w:rPr>
          <w:rFonts w:eastAsia="Gotham Book" w:cs="Gotham Book"/>
          <w:noProof/>
        </w:rPr>
        <w:t xml:space="preserve">icare </w:t>
      </w:r>
      <w:r w:rsidR="000056F1">
        <w:rPr>
          <w:rFonts w:eastAsia="Gotham Book" w:cs="Gotham Book"/>
          <w:noProof/>
        </w:rPr>
        <w:t>HBCF</w:t>
      </w:r>
      <w:r w:rsidRPr="008E1AE3">
        <w:rPr>
          <w:rFonts w:eastAsia="Gotham Book" w:cs="Gotham Book"/>
          <w:noProof/>
        </w:rPr>
        <w:t>) has written all HBC insurance in NSW since 1 July 2010.</w:t>
      </w:r>
    </w:p>
    <w:p w:rsidR="0043645B" w:rsidRPr="008E1AE3" w:rsidP="0012565E" w14:paraId="1B6239F9" w14:textId="7576DC61">
      <w:r w:rsidRPr="008E1AE3">
        <w:rPr>
          <w:rFonts w:eastAsia="Gotham Book" w:cs="Gotham Book"/>
          <w:noProof/>
        </w:rPr>
        <w:t xml:space="preserve">HBC insurance written in NSW prior to </w:t>
      </w:r>
      <w:r w:rsidRPr="008E1AE3" w:rsidR="00424CE1">
        <w:rPr>
          <w:rFonts w:eastAsia="Gotham Book" w:cs="Gotham Book"/>
          <w:noProof/>
        </w:rPr>
        <w:t xml:space="preserve">1 </w:t>
      </w:r>
      <w:r w:rsidRPr="008E1AE3" w:rsidR="00F70732">
        <w:rPr>
          <w:rFonts w:eastAsia="Gotham Book" w:cs="Gotham Book"/>
          <w:noProof/>
        </w:rPr>
        <w:t xml:space="preserve">July </w:t>
      </w:r>
      <w:r w:rsidRPr="008E1AE3">
        <w:rPr>
          <w:rFonts w:eastAsia="Gotham Book" w:cs="Gotham Book"/>
          <w:noProof/>
        </w:rPr>
        <w:t xml:space="preserve">2010 was written by insurers approved by the Minister. These insurers are referred to as ‘runoff insurers’ and all ceased writing business on or before 30 June 2010. Runoff insurers continue to manage and settle claims on policies written up until the date they ceased writing HBC business. </w:t>
      </w:r>
    </w:p>
    <w:p w:rsidR="0043645B" w:rsidRPr="008E1AE3" w:rsidP="0012565E" w14:paraId="0BCE4DDB" w14:textId="4BE2BA0A">
      <w:r w:rsidRPr="008E1AE3">
        <w:rPr>
          <w:rFonts w:eastAsia="Gotham Book" w:cs="Gotham Book"/>
          <w:noProof/>
        </w:rPr>
        <w:t xml:space="preserve">In June 2017, the NSW Parliament passed the </w:t>
      </w:r>
      <w:r w:rsidRPr="008E1AE3">
        <w:rPr>
          <w:rFonts w:eastAsia="Gotham Book" w:cs="Gotham Book"/>
          <w:i/>
          <w:iCs/>
          <w:noProof/>
        </w:rPr>
        <w:t>Home Building Amendment (Compensation Reform) Act 2017</w:t>
      </w:r>
      <w:r w:rsidRPr="008E1AE3">
        <w:rPr>
          <w:rFonts w:eastAsia="Gotham Book" w:cs="Gotham Book"/>
          <w:noProof/>
        </w:rPr>
        <w:t xml:space="preserve">. The Amendment Act commenced on 1 January 2018 and allows private insurers or alternate indeminity product providers to apply to SIRA for a license to enter home building compensation market. At the time of the writing of this report, icare </w:t>
      </w:r>
      <w:r w:rsidR="000056F1">
        <w:rPr>
          <w:rFonts w:eastAsia="Gotham Book" w:cs="Gotham Book"/>
          <w:noProof/>
        </w:rPr>
        <w:t>HBCF</w:t>
      </w:r>
      <w:r w:rsidRPr="008E1AE3">
        <w:rPr>
          <w:rFonts w:eastAsia="Gotham Book" w:cs="Gotham Book"/>
          <w:noProof/>
        </w:rPr>
        <w:t xml:space="preserve"> is the single HBC licence holder.</w:t>
      </w:r>
    </w:p>
    <w:p w:rsidR="004161E5" w:rsidRPr="008E1AE3" w14:paraId="45D18F80" w14:textId="77777777">
      <w:pPr>
        <w:spacing w:before="0" w:after="200"/>
        <w:rPr>
          <w:rFonts w:ascii="Clarendon Lt BT" w:hAnsi="Clarendon Lt BT" w:eastAsiaTheme="majorEastAsia" w:cstheme="majorBidi"/>
          <w:bCs/>
          <w:noProof/>
          <w:color w:val="000000" w:themeColor="text1"/>
          <w:sz w:val="32"/>
          <w:szCs w:val="26"/>
        </w:rPr>
      </w:pPr>
      <w:bookmarkStart w:id="78" w:name="_Toc518654978"/>
      <w:bookmarkStart w:id="79" w:name="_Toc530651473"/>
      <w:bookmarkStart w:id="80" w:name="_Toc530663750"/>
      <w:bookmarkStart w:id="81" w:name="_Toc530672029"/>
      <w:bookmarkStart w:id="82" w:name="_Toc530672505"/>
      <w:bookmarkStart w:id="83" w:name="_Toc530674171"/>
      <w:bookmarkStart w:id="84" w:name="_Toc531180075"/>
      <w:bookmarkStart w:id="85" w:name="_Toc531181914"/>
      <w:bookmarkStart w:id="86" w:name="_Toc2073632"/>
      <w:bookmarkStart w:id="87" w:name="_Toc2083952"/>
      <w:bookmarkStart w:id="88" w:name="_Toc2085874"/>
      <w:r w:rsidRPr="008E1AE3">
        <w:rPr>
          <w:noProof/>
        </w:rPr>
        <w:br w:type="page"/>
      </w:r>
    </w:p>
    <w:p w:rsidR="004A6998" w:rsidRPr="008E1AE3" w:rsidP="00D264DB" w14:paraId="45D5C0F2" w14:textId="4F749053">
      <w:pPr>
        <w:pStyle w:val="Heading2"/>
        <w:spacing w:after="120"/>
        <w:rPr>
          <w:noProof/>
        </w:rPr>
      </w:pPr>
      <w:bookmarkStart w:id="89" w:name="_Toc4144927"/>
      <w:bookmarkStart w:id="90" w:name="_Toc4483515"/>
      <w:bookmarkStart w:id="91" w:name="_Toc4485206"/>
      <w:bookmarkStart w:id="92" w:name="_Toc15488345"/>
      <w:r w:rsidRPr="008E1AE3">
        <w:rPr>
          <w:noProof/>
        </w:rPr>
        <w:t>HBC scheme data</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rsidR="00C56C13" w:rsidRPr="008E1AE3" w:rsidP="00D264DB" w14:paraId="6FEC40BD" w14:textId="64B56238">
      <w:pPr>
        <w:spacing w:before="0"/>
        <w:rPr>
          <w:rFonts w:ascii="Clarendon Lt BT" w:hAnsi="Clarendon Lt BT" w:eastAsiaTheme="majorEastAsia" w:cstheme="majorBidi"/>
          <w:noProof/>
          <w:color w:val="007A33"/>
          <w:sz w:val="48"/>
          <w:szCs w:val="48"/>
        </w:rPr>
      </w:pPr>
      <w:r w:rsidRPr="008E1AE3">
        <w:rPr>
          <w:rFonts w:eastAsia="Gotham Book" w:cs="Gotham Book"/>
          <w:noProof/>
        </w:rPr>
        <w:t xml:space="preserve">SIRA collects data on HBC </w:t>
      </w:r>
      <w:r w:rsidR="001A29FD">
        <w:rPr>
          <w:rFonts w:eastAsia="Gotham Book" w:cs="Gotham Book"/>
          <w:noProof/>
        </w:rPr>
        <w:t>contracts of insurance</w:t>
      </w:r>
      <w:r w:rsidRPr="008E1AE3" w:rsidR="001A29FD">
        <w:rPr>
          <w:rFonts w:eastAsia="Gotham Book" w:cs="Gotham Book"/>
          <w:noProof/>
        </w:rPr>
        <w:t xml:space="preserve"> </w:t>
      </w:r>
      <w:r w:rsidRPr="008E1AE3">
        <w:rPr>
          <w:rFonts w:eastAsia="Gotham Book" w:cs="Gotham Book"/>
          <w:noProof/>
        </w:rPr>
        <w:t xml:space="preserve">and claims in accordance with HBC guidelines to monitor the </w:t>
      </w:r>
      <w:r w:rsidRPr="008E1AE3" w:rsidR="00343347">
        <w:rPr>
          <w:rFonts w:eastAsia="Gotham Book" w:cs="Gotham Book"/>
          <w:noProof/>
        </w:rPr>
        <w:t xml:space="preserve">operation of the </w:t>
      </w:r>
      <w:r w:rsidRPr="008E1AE3">
        <w:rPr>
          <w:rFonts w:eastAsia="Gotham Book" w:cs="Gotham Book"/>
          <w:noProof/>
        </w:rPr>
        <w:t>scheme.</w:t>
      </w:r>
    </w:p>
    <w:p w:rsidR="00C56C13" w:rsidRPr="008E1AE3" w:rsidP="004A6998" w14:paraId="7F0E6872" w14:textId="1F63AC60">
      <w:r w:rsidRPr="008E1AE3">
        <w:rPr>
          <w:rFonts w:eastAsia="Gotham Book" w:cs="Gotham Book"/>
          <w:noProof/>
        </w:rPr>
        <w:t xml:space="preserve">The information in this report applies only to the scheme’s operations since 1 July 2002. Since 1 July 2002 the HBC scheme </w:t>
      </w:r>
      <w:r w:rsidRPr="008E1AE3" w:rsidR="00343347">
        <w:rPr>
          <w:rFonts w:eastAsia="Gotham Book" w:cs="Gotham Book"/>
          <w:noProof/>
        </w:rPr>
        <w:t xml:space="preserve">has </w:t>
      </w:r>
      <w:r w:rsidRPr="008E1AE3">
        <w:rPr>
          <w:rFonts w:eastAsia="Gotham Book" w:cs="Gotham Book"/>
          <w:noProof/>
        </w:rPr>
        <w:t>offer</w:t>
      </w:r>
      <w:r w:rsidRPr="008E1AE3" w:rsidR="00343347">
        <w:rPr>
          <w:rFonts w:eastAsia="Gotham Book" w:cs="Gotham Book"/>
          <w:noProof/>
        </w:rPr>
        <w:t>ed</w:t>
      </w:r>
      <w:r w:rsidRPr="008E1AE3">
        <w:rPr>
          <w:rFonts w:eastAsia="Gotham Book" w:cs="Gotham Book"/>
          <w:noProof/>
        </w:rPr>
        <w:t xml:space="preserve"> protection in the event of the death, disappearance or insolvency of a builder or tradesperson</w:t>
      </w:r>
      <w:r w:rsidRPr="008E1AE3" w:rsidR="00343347">
        <w:rPr>
          <w:rFonts w:eastAsia="Gotham Book" w:cs="Gotham Book"/>
          <w:noProof/>
        </w:rPr>
        <w:t xml:space="preserve"> only</w:t>
      </w:r>
      <w:r w:rsidRPr="008E1AE3">
        <w:rPr>
          <w:rFonts w:eastAsia="Gotham Book" w:cs="Gotham Book"/>
          <w:noProof/>
        </w:rPr>
        <w:t xml:space="preserve">. For </w:t>
      </w:r>
      <w:r w:rsidR="001A29FD">
        <w:rPr>
          <w:rFonts w:eastAsia="Gotham Book" w:cs="Gotham Book"/>
          <w:noProof/>
        </w:rPr>
        <w:t>contracts of insurance</w:t>
      </w:r>
      <w:r w:rsidRPr="008E1AE3" w:rsidR="001A29FD">
        <w:rPr>
          <w:rFonts w:eastAsia="Gotham Book" w:cs="Gotham Book"/>
          <w:noProof/>
        </w:rPr>
        <w:t xml:space="preserve"> </w:t>
      </w:r>
      <w:r w:rsidR="001A29FD">
        <w:rPr>
          <w:rFonts w:eastAsia="Gotham Book" w:cs="Gotham Book"/>
          <w:noProof/>
        </w:rPr>
        <w:t>entered into</w:t>
      </w:r>
      <w:r w:rsidRPr="008E1AE3">
        <w:rPr>
          <w:rFonts w:eastAsia="Gotham Book" w:cs="Gotham Book"/>
          <w:noProof/>
        </w:rPr>
        <w:t xml:space="preserve"> from 19 May 2009, </w:t>
      </w:r>
      <w:r w:rsidR="001A29FD">
        <w:rPr>
          <w:rFonts w:eastAsia="Gotham Book" w:cs="Gotham Book"/>
          <w:noProof/>
        </w:rPr>
        <w:t>claims may also be made in</w:t>
      </w:r>
      <w:r w:rsidRPr="008E1AE3">
        <w:rPr>
          <w:rFonts w:eastAsia="Gotham Book" w:cs="Gotham Book"/>
          <w:noProof/>
        </w:rPr>
        <w:t xml:space="preserve"> situations where a builder or tradesperson’s licence is suspended for failure to comply with a mandatory monetary order of the NSW Civil and Administrative Tribunal (NCAT) or a court in favour of the homeowner. </w:t>
      </w:r>
    </w:p>
    <w:p w:rsidR="00C56C13" w:rsidRPr="008E1AE3" w:rsidP="004A6998" w14:paraId="4B888FDC" w14:textId="1CF21EF6">
      <w:r w:rsidRPr="008E1AE3">
        <w:rPr>
          <w:rFonts w:eastAsia="Gotham Book" w:cs="Gotham Book"/>
          <w:noProof/>
        </w:rPr>
        <w:t>The information in this report consists of two parts:</w:t>
      </w:r>
    </w:p>
    <w:p w:rsidR="00C56C13" w:rsidRPr="008E1AE3" w:rsidP="004A6998" w14:paraId="087B4F66" w14:textId="144BFDE0">
      <w:pPr>
        <w:rPr>
          <w:rFonts w:eastAsia="Gotham Book" w:cs="Gotham Book"/>
          <w:b/>
          <w:bCs/>
          <w:noProof/>
        </w:rPr>
      </w:pPr>
      <w:r w:rsidRPr="008E1AE3">
        <w:rPr>
          <w:rFonts w:eastAsia="Gotham Book" w:cs="Gotham Book"/>
          <w:b/>
          <w:bCs/>
          <w:noProof/>
        </w:rPr>
        <w:t xml:space="preserve">Part 1: Information </w:t>
      </w:r>
      <w:r w:rsidRPr="008E1AE3" w:rsidR="007C5E74">
        <w:rPr>
          <w:rFonts w:eastAsia="Gotham Book" w:cs="Gotham Book"/>
          <w:b/>
          <w:bCs/>
          <w:noProof/>
        </w:rPr>
        <w:t>pertaining to policies issued since 1 July 2010</w:t>
      </w:r>
      <w:r w:rsidRPr="008E1AE3" w:rsidR="008300A9">
        <w:rPr>
          <w:rFonts w:eastAsia="Gotham Book" w:cs="Gotham Book"/>
          <w:b/>
          <w:bCs/>
          <w:noProof/>
        </w:rPr>
        <w:t xml:space="preserve">  </w:t>
      </w:r>
    </w:p>
    <w:p w:rsidR="00C56C13" w:rsidRPr="008E1AE3" w:rsidP="004A6998" w14:paraId="6C5417EC" w14:textId="4C98D1A0">
      <w:r w:rsidRPr="008E1AE3">
        <w:rPr>
          <w:rFonts w:eastAsia="Gotham Book" w:cs="Gotham Book"/>
          <w:noProof/>
        </w:rPr>
        <w:t xml:space="preserve">icare </w:t>
      </w:r>
      <w:r w:rsidR="000056F1">
        <w:rPr>
          <w:rFonts w:eastAsia="Gotham Book" w:cs="Gotham Book"/>
          <w:noProof/>
        </w:rPr>
        <w:t>HBCF</w:t>
      </w:r>
      <w:r w:rsidRPr="008E1AE3">
        <w:rPr>
          <w:rFonts w:eastAsia="Gotham Book" w:cs="Gotham Book"/>
          <w:noProof/>
        </w:rPr>
        <w:t xml:space="preserve"> </w:t>
      </w:r>
      <w:r w:rsidRPr="008E1AE3" w:rsidR="00343347">
        <w:rPr>
          <w:rFonts w:eastAsia="Gotham Book" w:cs="Gotham Book"/>
          <w:noProof/>
        </w:rPr>
        <w:t xml:space="preserve">has been the </w:t>
      </w:r>
      <w:r w:rsidRPr="008E1AE3">
        <w:rPr>
          <w:rFonts w:eastAsia="Gotham Book" w:cs="Gotham Book"/>
          <w:noProof/>
        </w:rPr>
        <w:t>sole provider</w:t>
      </w:r>
      <w:r w:rsidRPr="008E1AE3" w:rsidR="00343347">
        <w:rPr>
          <w:rFonts w:eastAsia="Gotham Book" w:cs="Gotham Book"/>
          <w:noProof/>
        </w:rPr>
        <w:t xml:space="preserve"> over this period</w:t>
      </w:r>
      <w:r w:rsidRPr="008E1AE3">
        <w:rPr>
          <w:rFonts w:eastAsia="Gotham Book" w:cs="Gotham Book"/>
          <w:noProof/>
        </w:rPr>
        <w:t xml:space="preserve">. </w:t>
      </w:r>
    </w:p>
    <w:p w:rsidR="00C56C13" w:rsidRPr="008E1AE3" w:rsidP="004A6998" w14:paraId="579CE609" w14:textId="7C158E74">
      <w:r w:rsidRPr="008E1AE3">
        <w:rPr>
          <w:rFonts w:eastAsia="Gotham Book" w:cs="Gotham Book"/>
          <w:b/>
          <w:bCs/>
          <w:noProof/>
        </w:rPr>
        <w:t>Part 2: Claims information</w:t>
      </w:r>
      <w:r w:rsidRPr="008E1AE3">
        <w:rPr>
          <w:rFonts w:eastAsia="Gotham Book" w:cs="Gotham Book"/>
          <w:noProof/>
        </w:rPr>
        <w:t xml:space="preserve"> </w:t>
      </w:r>
      <w:r w:rsidRPr="008E1AE3">
        <w:rPr>
          <w:rFonts w:eastAsia="Gotham Book" w:cs="Gotham Book"/>
          <w:b/>
          <w:bCs/>
          <w:noProof/>
        </w:rPr>
        <w:t xml:space="preserve">for policies issued prior to </w:t>
      </w:r>
      <w:r w:rsidRPr="008E1AE3" w:rsidR="00424CE1">
        <w:rPr>
          <w:rFonts w:eastAsia="Gotham Book" w:cs="Gotham Book"/>
          <w:b/>
          <w:bCs/>
          <w:noProof/>
        </w:rPr>
        <w:t xml:space="preserve">1 </w:t>
      </w:r>
      <w:r w:rsidRPr="008E1AE3">
        <w:rPr>
          <w:rFonts w:eastAsia="Gotham Book" w:cs="Gotham Book"/>
          <w:b/>
          <w:bCs/>
          <w:noProof/>
        </w:rPr>
        <w:t>July 2010</w:t>
      </w:r>
    </w:p>
    <w:p w:rsidR="00C56C13" w:rsidRPr="008E1AE3" w:rsidP="004A6998" w14:paraId="3D287DCC" w14:textId="4DD899FE">
      <w:r w:rsidRPr="008E1AE3">
        <w:rPr>
          <w:rFonts w:eastAsia="Gotham Book" w:cs="Gotham Book"/>
          <w:noProof/>
        </w:rPr>
        <w:t xml:space="preserve">The information in Part 2 of the report relates to claims information for </w:t>
      </w:r>
      <w:r w:rsidR="009B7198">
        <w:rPr>
          <w:rFonts w:eastAsia="Gotham Book" w:cs="Gotham Book"/>
          <w:noProof/>
        </w:rPr>
        <w:t>contracts of insurance</w:t>
      </w:r>
      <w:r w:rsidRPr="008E1AE3" w:rsidR="009B7198">
        <w:rPr>
          <w:rFonts w:eastAsia="Gotham Book" w:cs="Gotham Book"/>
          <w:noProof/>
        </w:rPr>
        <w:t xml:space="preserve"> </w:t>
      </w:r>
      <w:r w:rsidR="009B7198">
        <w:rPr>
          <w:rFonts w:eastAsia="Gotham Book" w:cs="Gotham Book"/>
          <w:noProof/>
        </w:rPr>
        <w:t xml:space="preserve">entered into </w:t>
      </w:r>
      <w:r w:rsidRPr="008E1AE3">
        <w:rPr>
          <w:rFonts w:eastAsia="Gotham Book" w:cs="Gotham Book"/>
          <w:noProof/>
        </w:rPr>
        <w:t xml:space="preserve">by runoff insurers prior to </w:t>
      </w:r>
      <w:r w:rsidRPr="008E1AE3" w:rsidR="00343347">
        <w:rPr>
          <w:rFonts w:eastAsia="Gotham Book" w:cs="Gotham Book"/>
          <w:noProof/>
        </w:rPr>
        <w:t xml:space="preserve">1 </w:t>
      </w:r>
      <w:r w:rsidRPr="008E1AE3">
        <w:rPr>
          <w:rFonts w:eastAsia="Gotham Book" w:cs="Gotham Book"/>
          <w:noProof/>
        </w:rPr>
        <w:t xml:space="preserve">July 2010. </w:t>
      </w:r>
    </w:p>
    <w:p w:rsidR="00C56C13" w:rsidRPr="008E1AE3" w:rsidP="004A6998" w14:paraId="55BA0816" w14:textId="180D296A">
      <w:r w:rsidRPr="008E1AE3">
        <w:rPr>
          <w:rFonts w:eastAsia="Gotham Book" w:cs="Gotham Book"/>
          <w:noProof/>
        </w:rPr>
        <w:t xml:space="preserve">Further information on the HBC scheme and reforms is available at </w:t>
      </w:r>
      <w:r>
        <w:fldChar w:fldCharType="begin"/>
      </w:r>
      <w:r>
        <w:instrText xml:space="preserve"> HYPERLINK "https://www.sira.nsw.gov.au" </w:instrText>
      </w:r>
      <w:r>
        <w:fldChar w:fldCharType="separate"/>
      </w:r>
      <w:r w:rsidRPr="008E1AE3" w:rsidR="003146B2">
        <w:rPr>
          <w:rStyle w:val="Hyperlink"/>
          <w:rFonts w:cstheme="minorBidi"/>
        </w:rPr>
        <w:t>https://www.sira.nsw.gov.au</w:t>
      </w:r>
      <w:r>
        <w:fldChar w:fldCharType="end"/>
      </w:r>
      <w:r w:rsidRPr="008E1AE3" w:rsidR="003146B2">
        <w:t>.</w:t>
      </w:r>
      <w:r w:rsidRPr="008E1AE3" w:rsidR="00D56EC9">
        <w:rPr>
          <w:rFonts w:eastAsia="Gotham Book" w:cs="Gotham Book"/>
          <w:noProof/>
        </w:rPr>
        <w:fldChar w:fldCharType="begin"/>
      </w:r>
      <w:r w:rsidRPr="008E1AE3" w:rsidR="00D56EC9">
        <w:rPr>
          <w:rFonts w:eastAsia="Gotham Book" w:cs="Gotham Book"/>
          <w:noProof/>
        </w:rPr>
        <w:instrText>https://www.sira.nsw.gov.au</w:instrText>
      </w:r>
      <w:r w:rsidRPr="008E1AE3" w:rsidR="00D56EC9">
        <w:rPr>
          <w:rFonts w:eastAsia="Gotham Book" w:cs="Gotham Book"/>
          <w:noProof/>
        </w:rPr>
        <w:fldChar w:fldCharType="separate"/>
      </w:r>
      <w:r w:rsidRPr="008E1AE3" w:rsidR="00D56EC9">
        <w:rPr>
          <w:rStyle w:val="Hyperlink"/>
          <w:rFonts w:eastAsia="Gotham Book" w:cs="Gotham Book"/>
          <w:noProof/>
        </w:rPr>
        <w:t>https://www.sira.nsw.gov.au</w:t>
      </w:r>
      <w:r w:rsidRPr="008E1AE3" w:rsidR="00D56EC9">
        <w:rPr>
          <w:rFonts w:eastAsia="Gotham Book" w:cs="Gotham Book"/>
          <w:noProof/>
        </w:rPr>
        <w:fldChar w:fldCharType="end"/>
      </w:r>
    </w:p>
    <w:p w:rsidR="00D56EC9" w:rsidRPr="008E1AE3" w:rsidP="00D264DB" w14:paraId="13331085" w14:textId="0EB79789">
      <w:pPr>
        <w:spacing w:after="60"/>
        <w:rPr>
          <w:noProof/>
        </w:rPr>
      </w:pPr>
      <w:r w:rsidRPr="008E1AE3">
        <w:rPr>
          <w:noProof/>
        </w:rPr>
        <w:t xml:space="preserve">For detailed </w:t>
      </w:r>
      <w:r w:rsidR="00F40931">
        <w:rPr>
          <w:noProof/>
        </w:rPr>
        <w:t xml:space="preserve">data </w:t>
      </w:r>
      <w:r w:rsidRPr="008E1AE3">
        <w:rPr>
          <w:noProof/>
        </w:rPr>
        <w:t xml:space="preserve">tables refer to </w:t>
      </w:r>
      <w:r w:rsidRPr="008E1AE3" w:rsidR="00714D74">
        <w:rPr>
          <w:noProof/>
        </w:rPr>
        <w:t xml:space="preserve">the </w:t>
      </w:r>
      <w:r w:rsidRPr="008E1AE3">
        <w:rPr>
          <w:noProof/>
        </w:rPr>
        <w:t xml:space="preserve">Excel workbook on </w:t>
      </w:r>
      <w:r w:rsidR="0033080C">
        <w:rPr>
          <w:noProof/>
        </w:rPr>
        <w:t xml:space="preserve">the supplement </w:t>
      </w:r>
      <w:r w:rsidRPr="008E1AE3">
        <w:rPr>
          <w:noProof/>
        </w:rPr>
        <w:t xml:space="preserve">HBC </w:t>
      </w:r>
      <w:r w:rsidR="00406664">
        <w:rPr>
          <w:noProof/>
        </w:rPr>
        <w:t xml:space="preserve">Scheme </w:t>
      </w:r>
      <w:r w:rsidRPr="008E1AE3">
        <w:rPr>
          <w:noProof/>
        </w:rPr>
        <w:t>Data Tables</w:t>
      </w:r>
      <w:r w:rsidRPr="00F40931" w:rsidR="00F40931">
        <w:rPr>
          <w:noProof/>
        </w:rPr>
        <w:t xml:space="preserve"> </w:t>
      </w:r>
      <w:r w:rsidR="00F40931">
        <w:rPr>
          <w:noProof/>
        </w:rPr>
        <w:t>June 2018</w:t>
      </w:r>
      <w:r w:rsidRPr="008E1AE3">
        <w:rPr>
          <w:noProof/>
        </w:rPr>
        <w:t>.</w:t>
      </w:r>
    </w:p>
    <w:p w:rsidR="00C56C13" w:rsidRPr="008E1AE3" w:rsidP="00D264DB" w14:paraId="55616A26" w14:textId="249C9FC0">
      <w:pPr>
        <w:pStyle w:val="Heading2"/>
        <w:spacing w:before="60" w:after="120"/>
      </w:pPr>
      <w:bookmarkStart w:id="93" w:name="_Toc4144928"/>
      <w:bookmarkStart w:id="94" w:name="_Toc4483516"/>
      <w:bookmarkStart w:id="95" w:name="_Toc4485207"/>
      <w:bookmarkStart w:id="96" w:name="_Toc15488346"/>
      <w:r w:rsidRPr="008E1AE3">
        <w:t>Caution in interpreting the information</w:t>
      </w:r>
      <w:bookmarkEnd w:id="93"/>
      <w:bookmarkEnd w:id="94"/>
      <w:bookmarkEnd w:id="95"/>
      <w:bookmarkEnd w:id="96"/>
    </w:p>
    <w:p w:rsidR="00C56C13" w:rsidRPr="008E1AE3" w:rsidP="004A6998" w14:paraId="28D3A227" w14:textId="71C46FD7">
      <w:r w:rsidRPr="008E1AE3">
        <w:rPr>
          <w:rFonts w:eastAsia="Gotham Book" w:cs="Gotham Book"/>
          <w:noProof/>
        </w:rPr>
        <w:t>Home building compensation is a ‘long tail’ class of business:</w:t>
      </w:r>
    </w:p>
    <w:p w:rsidR="00C56C13" w:rsidRPr="008E1AE3" w:rsidP="00D264DB" w14:paraId="0EE307E3" w14:textId="1704C4A0">
      <w:pPr>
        <w:pStyle w:val="ListBullet"/>
      </w:pPr>
      <w:r w:rsidRPr="008E1AE3">
        <w:rPr>
          <w:noProof/>
        </w:rPr>
        <w:t xml:space="preserve">There may be a significant delay between the date a </w:t>
      </w:r>
      <w:r w:rsidR="006A1015">
        <w:rPr>
          <w:noProof/>
        </w:rPr>
        <w:t>builder enters into a contract of insurance</w:t>
      </w:r>
      <w:r w:rsidRPr="008E1AE3" w:rsidR="006A1015">
        <w:rPr>
          <w:noProof/>
        </w:rPr>
        <w:t xml:space="preserve"> </w:t>
      </w:r>
      <w:r w:rsidR="006A1015">
        <w:rPr>
          <w:noProof/>
        </w:rPr>
        <w:t xml:space="preserve">for a building </w:t>
      </w:r>
      <w:r w:rsidRPr="008E1AE3">
        <w:rPr>
          <w:noProof/>
        </w:rPr>
        <w:t>project</w:t>
      </w:r>
      <w:r w:rsidR="006A1015">
        <w:rPr>
          <w:noProof/>
        </w:rPr>
        <w:t>,</w:t>
      </w:r>
      <w:r w:rsidRPr="008E1AE3">
        <w:rPr>
          <w:noProof/>
        </w:rPr>
        <w:t xml:space="preserve"> and the commencement </w:t>
      </w:r>
      <w:r w:rsidR="006A1015">
        <w:rPr>
          <w:noProof/>
        </w:rPr>
        <w:t>date of work on</w:t>
      </w:r>
      <w:r w:rsidRPr="008E1AE3">
        <w:rPr>
          <w:noProof/>
        </w:rPr>
        <w:t xml:space="preserve"> the project</w:t>
      </w:r>
    </w:p>
    <w:p w:rsidR="00C56C13" w:rsidRPr="008E1AE3" w:rsidP="00D264DB" w14:paraId="227251C8" w14:textId="3FEF3C14">
      <w:pPr>
        <w:pStyle w:val="ListBullet"/>
      </w:pPr>
      <w:r w:rsidRPr="008E1AE3">
        <w:rPr>
          <w:noProof/>
        </w:rPr>
        <w:t xml:space="preserve">The duration of </w:t>
      </w:r>
      <w:r w:rsidRPr="008E1AE3" w:rsidR="00714D74">
        <w:rPr>
          <w:noProof/>
        </w:rPr>
        <w:t xml:space="preserve">a </w:t>
      </w:r>
      <w:r w:rsidRPr="008E1AE3">
        <w:rPr>
          <w:noProof/>
        </w:rPr>
        <w:t>building project may range from a few weeks to several years</w:t>
      </w:r>
    </w:p>
    <w:p w:rsidR="00C56C13" w:rsidRPr="008E1AE3" w:rsidP="00D264DB" w14:paraId="20BD433B" w14:textId="60085008">
      <w:pPr>
        <w:pStyle w:val="ListBullet"/>
      </w:pPr>
      <w:r w:rsidRPr="008E1AE3">
        <w:rPr>
          <w:noProof/>
        </w:rPr>
        <w:t xml:space="preserve">For incomplete work, </w:t>
      </w:r>
      <w:r w:rsidRPr="008E1AE3" w:rsidR="00714D74">
        <w:rPr>
          <w:noProof/>
        </w:rPr>
        <w:t xml:space="preserve">the </w:t>
      </w:r>
      <w:r w:rsidRPr="008E1AE3">
        <w:rPr>
          <w:noProof/>
        </w:rPr>
        <w:t xml:space="preserve">period of insurance is twelve months from the date of the failure to commence the work or cessation of work (if it was started). </w:t>
      </w:r>
    </w:p>
    <w:p w:rsidR="00C56C13" w:rsidRPr="008E1AE3" w:rsidP="00D264DB" w14:paraId="315AB1ED" w14:textId="403ACAB2">
      <w:pPr>
        <w:pStyle w:val="ListBullet"/>
      </w:pPr>
      <w:r w:rsidRPr="008E1AE3">
        <w:rPr>
          <w:noProof/>
        </w:rPr>
        <w:t xml:space="preserve">If claim involves defective work, the period of insurance is either six years (major defects) or two years (all other defects). </w:t>
      </w:r>
    </w:p>
    <w:p w:rsidR="00C56C13" w:rsidRPr="008E1AE3" w:rsidP="00D264DB" w14:paraId="4F5D2E8C" w14:textId="6023801F">
      <w:pPr>
        <w:pStyle w:val="ListBullet"/>
      </w:pPr>
      <w:r w:rsidRPr="008E1AE3">
        <w:rPr>
          <w:noProof/>
        </w:rPr>
        <w:t>It may take some time for homeowners to identify a loss, lodge a claim with an insurer and for the insurer to assess the claim and arrange rectification.</w:t>
      </w:r>
    </w:p>
    <w:p w:rsidR="00C56C13" w:rsidRPr="008E1AE3" w:rsidP="004A6998" w14:paraId="61A7DE51" w14:textId="36B35D56">
      <w:r w:rsidRPr="008E1AE3">
        <w:rPr>
          <w:rFonts w:eastAsia="Gotham Book" w:cs="Gotham Book"/>
          <w:noProof/>
        </w:rPr>
        <w:t xml:space="preserve">HBC claims experience varies greatly from year to year and is impacted by conditions in both the home building market and </w:t>
      </w:r>
      <w:r w:rsidRPr="008E1AE3" w:rsidR="00714D74">
        <w:rPr>
          <w:rFonts w:eastAsia="Gotham Book" w:cs="Gotham Book"/>
          <w:noProof/>
        </w:rPr>
        <w:t>broader economy</w:t>
      </w:r>
      <w:r w:rsidRPr="008E1AE3">
        <w:rPr>
          <w:rFonts w:eastAsia="Gotham Book" w:cs="Gotham Book"/>
          <w:noProof/>
        </w:rPr>
        <w:t xml:space="preserve">. Periods of high construction activity are generally associated with fewer insolvencies, and therefore fewer claims to the Scheme. The reverse is true </w:t>
      </w:r>
      <w:r w:rsidRPr="008E1AE3" w:rsidR="00714D74">
        <w:rPr>
          <w:rFonts w:eastAsia="Gotham Book" w:cs="Gotham Book"/>
          <w:noProof/>
        </w:rPr>
        <w:t xml:space="preserve">of </w:t>
      </w:r>
      <w:r w:rsidRPr="008E1AE3">
        <w:rPr>
          <w:rFonts w:eastAsia="Gotham Book" w:cs="Gotham Book"/>
          <w:noProof/>
        </w:rPr>
        <w:t xml:space="preserve">periods </w:t>
      </w:r>
      <w:r w:rsidRPr="008E1AE3" w:rsidR="00714D74">
        <w:rPr>
          <w:rFonts w:eastAsia="Gotham Book" w:cs="Gotham Book"/>
          <w:noProof/>
        </w:rPr>
        <w:t xml:space="preserve">with </w:t>
      </w:r>
      <w:r w:rsidRPr="008E1AE3">
        <w:rPr>
          <w:rFonts w:eastAsia="Gotham Book" w:cs="Gotham Book"/>
          <w:noProof/>
        </w:rPr>
        <w:t xml:space="preserve">low construction activity. </w:t>
      </w:r>
    </w:p>
    <w:p w:rsidR="00C56C13" w:rsidRPr="008E1AE3" w:rsidP="004A6998" w14:paraId="344F4ED5" w14:textId="4336F09E">
      <w:r w:rsidRPr="008E1AE3">
        <w:rPr>
          <w:rFonts w:eastAsia="Gotham Book" w:cs="Gotham Book"/>
          <w:noProof/>
        </w:rPr>
        <w:t xml:space="preserve">Claims </w:t>
      </w:r>
      <w:r w:rsidR="00AF4C74">
        <w:rPr>
          <w:rFonts w:eastAsia="Gotham Book" w:cs="Gotham Book"/>
          <w:noProof/>
        </w:rPr>
        <w:t>lodged</w:t>
      </w:r>
      <w:r w:rsidRPr="008E1AE3" w:rsidR="00AF4C74">
        <w:rPr>
          <w:rFonts w:eastAsia="Gotham Book" w:cs="Gotham Book"/>
          <w:noProof/>
        </w:rPr>
        <w:t xml:space="preserve"> </w:t>
      </w:r>
      <w:r w:rsidRPr="008E1AE3">
        <w:rPr>
          <w:rFonts w:eastAsia="Gotham Book" w:cs="Gotham Book"/>
          <w:noProof/>
        </w:rPr>
        <w:t xml:space="preserve">or paid in any given year can relate to </w:t>
      </w:r>
      <w:r w:rsidR="006A1015">
        <w:rPr>
          <w:rFonts w:eastAsia="Gotham Book" w:cs="Gotham Book"/>
          <w:noProof/>
        </w:rPr>
        <w:t xml:space="preserve">insurance </w:t>
      </w:r>
      <w:r w:rsidRPr="008E1AE3">
        <w:rPr>
          <w:rFonts w:eastAsia="Gotham Book" w:cs="Gotham Book"/>
          <w:noProof/>
        </w:rPr>
        <w:t xml:space="preserve">policies issued many years ago. </w:t>
      </w:r>
    </w:p>
    <w:p w:rsidR="00FE2BB4" w:rsidRPr="008E1AE3" w14:paraId="6D85BEE2" w14:textId="3E14F28B">
      <w:pPr>
        <w:spacing w:before="0" w:after="200"/>
        <w:rPr>
          <w:rFonts w:ascii="Clarendon Lt BT" w:hAnsi="Clarendon Lt BT" w:eastAsiaTheme="majorEastAsia" w:cstheme="majorBidi"/>
          <w:color w:val="007A33"/>
          <w:sz w:val="48"/>
          <w:szCs w:val="48"/>
        </w:rPr>
      </w:pPr>
      <w:r w:rsidRPr="008E1AE3">
        <w:rPr>
          <w:rFonts w:eastAsia="Gotham Book" w:cs="Gotham Book"/>
          <w:noProof/>
        </w:rPr>
        <w:t xml:space="preserve">It is important to consider the characteristics of HBC </w:t>
      </w:r>
      <w:r w:rsidR="005A5201">
        <w:rPr>
          <w:rFonts w:eastAsia="Gotham Book" w:cs="Gotham Book"/>
          <w:noProof/>
        </w:rPr>
        <w:t>insurance</w:t>
      </w:r>
      <w:r w:rsidRPr="008E1AE3" w:rsidR="005A5201">
        <w:rPr>
          <w:rFonts w:eastAsia="Gotham Book" w:cs="Gotham Book"/>
          <w:noProof/>
        </w:rPr>
        <w:t xml:space="preserve"> </w:t>
      </w:r>
      <w:r w:rsidRPr="008E1AE3">
        <w:rPr>
          <w:rFonts w:eastAsia="Gotham Book" w:cs="Gotham Book"/>
          <w:noProof/>
        </w:rPr>
        <w:t xml:space="preserve">and the impact of broader economic conditions when interpreting </w:t>
      </w:r>
      <w:r w:rsidR="006860BA">
        <w:rPr>
          <w:rFonts w:eastAsia="Gotham Book" w:cs="Gotham Book"/>
          <w:noProof/>
        </w:rPr>
        <w:t>the information</w:t>
      </w:r>
      <w:r w:rsidRPr="008E1AE3" w:rsidR="006860BA">
        <w:rPr>
          <w:rFonts w:eastAsia="Gotham Book" w:cs="Gotham Book"/>
          <w:noProof/>
        </w:rPr>
        <w:t xml:space="preserve"> </w:t>
      </w:r>
      <w:r w:rsidRPr="008E1AE3">
        <w:rPr>
          <w:rFonts w:eastAsia="Gotham Book" w:cs="Gotham Book"/>
          <w:noProof/>
        </w:rPr>
        <w:t>in this report.</w:t>
      </w:r>
      <w:bookmarkStart w:id="97" w:name="_Toc518654980"/>
      <w:bookmarkStart w:id="98" w:name="_Toc530651475"/>
      <w:bookmarkStart w:id="99" w:name="_Toc530663752"/>
      <w:bookmarkStart w:id="100" w:name="_Toc530672031"/>
      <w:bookmarkStart w:id="101" w:name="_Toc530672507"/>
      <w:bookmarkStart w:id="102" w:name="_Toc530674173"/>
      <w:bookmarkStart w:id="103" w:name="_Toc531180077"/>
      <w:bookmarkStart w:id="104" w:name="_Toc531181916"/>
      <w:r w:rsidRPr="008E1AE3">
        <w:rPr>
          <w:noProof/>
        </w:rPr>
        <w:br w:type="page"/>
      </w:r>
    </w:p>
    <w:p w:rsidR="004A6998" w:rsidRPr="008E1AE3" w:rsidP="001321BC" w14:paraId="7E2B04AE" w14:textId="263CF186">
      <w:pPr>
        <w:pStyle w:val="Heading1"/>
        <w:rPr>
          <w:noProof/>
        </w:rPr>
      </w:pPr>
      <w:bookmarkStart w:id="105" w:name="_Toc2073634"/>
      <w:bookmarkStart w:id="106" w:name="_Toc2083954"/>
      <w:bookmarkStart w:id="107" w:name="_Toc2085876"/>
      <w:bookmarkStart w:id="108" w:name="_Toc4144929"/>
      <w:bookmarkStart w:id="109" w:name="_Toc4483517"/>
      <w:bookmarkStart w:id="110" w:name="_Toc4485208"/>
      <w:bookmarkStart w:id="111" w:name="_Toc15488347"/>
      <w:r w:rsidRPr="008E1AE3">
        <w:rPr>
          <w:noProof/>
        </w:rPr>
        <w:t xml:space="preserve">Part 1: Information </w:t>
      </w:r>
      <w:r w:rsidR="00DE3EF5">
        <w:rPr>
          <w:noProof/>
        </w:rPr>
        <w:t>on</w:t>
      </w:r>
      <w:r w:rsidRPr="008E1AE3" w:rsidR="00E82263">
        <w:rPr>
          <w:noProof/>
        </w:rPr>
        <w:t xml:space="preserve"> policies issued since 1 July 2010</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rsidR="004236D9" w:rsidRPr="008E1AE3" w:rsidP="00C53DBD" w14:paraId="2501A0BF" w14:textId="24779915">
      <w:pPr>
        <w:pStyle w:val="Heading2"/>
        <w:numPr>
          <w:ilvl w:val="0"/>
          <w:numId w:val="16"/>
        </w:numPr>
        <w:ind w:left="360"/>
      </w:pPr>
      <w:bookmarkStart w:id="112" w:name="_Toc518654981"/>
      <w:bookmarkStart w:id="113" w:name="_Toc530651476"/>
      <w:bookmarkStart w:id="114" w:name="_Toc530663753"/>
      <w:bookmarkStart w:id="115" w:name="_Toc530672032"/>
      <w:bookmarkStart w:id="116" w:name="_Toc530672508"/>
      <w:bookmarkStart w:id="117" w:name="_Toc530674174"/>
      <w:bookmarkStart w:id="118" w:name="_Toc531180078"/>
      <w:bookmarkStart w:id="119" w:name="_Toc531181917"/>
      <w:bookmarkStart w:id="120" w:name="_Ref2069182"/>
      <w:bookmarkStart w:id="121" w:name="_Toc2073635"/>
      <w:bookmarkStart w:id="122" w:name="_Toc2083955"/>
      <w:bookmarkStart w:id="123" w:name="_Toc2085877"/>
      <w:bookmarkStart w:id="124" w:name="_Toc4144930"/>
      <w:bookmarkStart w:id="125" w:name="_Toc4483518"/>
      <w:bookmarkStart w:id="126" w:name="_Toc4485209"/>
      <w:bookmarkStart w:id="127" w:name="_Toc15488348"/>
      <w:r w:rsidRPr="008E1AE3">
        <w:t>Eligibility information</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Pr="008E1AE3">
        <w:t xml:space="preserve"> </w:t>
      </w:r>
    </w:p>
    <w:p w:rsidR="000F0F6D" w:rsidRPr="008E1AE3" w:rsidP="005B7697" w14:paraId="6C51205D" w14:textId="77777777">
      <w:pPr>
        <w:shd w:val="clear" w:color="auto" w:fill="DAEEF3" w:themeFill="accent5" w:themeFillTint="33"/>
        <w:rPr>
          <w:b/>
        </w:rPr>
      </w:pPr>
      <w:r w:rsidRPr="008E1AE3">
        <w:rPr>
          <w:b/>
        </w:rPr>
        <w:t>Key comments:</w:t>
      </w:r>
    </w:p>
    <w:p w:rsidR="00D52B06" w:rsidRPr="008E1AE3" w:rsidP="00C53DBD" w14:paraId="116E2BAF" w14:textId="264032C9">
      <w:pPr>
        <w:pStyle w:val="ListParagraph"/>
        <w:numPr>
          <w:ilvl w:val="0"/>
          <w:numId w:val="17"/>
        </w:numPr>
        <w:shd w:val="clear" w:color="auto" w:fill="DAEEF3" w:themeFill="accent5" w:themeFillTint="33"/>
      </w:pPr>
      <w:r w:rsidRPr="008E1AE3">
        <w:t xml:space="preserve">There has been a </w:t>
      </w:r>
      <w:r w:rsidRPr="008E1AE3" w:rsidR="000B12C8">
        <w:t>5</w:t>
      </w:r>
      <w:r w:rsidRPr="008E1AE3">
        <w:t xml:space="preserve">% increase in the number of eligible builders over 2017/18 </w:t>
      </w:r>
      <w:r w:rsidRPr="008E1AE3" w:rsidR="00927762">
        <w:t>–</w:t>
      </w:r>
      <w:r w:rsidRPr="008E1AE3">
        <w:t xml:space="preserve"> </w:t>
      </w:r>
      <w:r w:rsidRPr="008E1AE3" w:rsidR="000D772F">
        <w:t xml:space="preserve">increasing </w:t>
      </w:r>
      <w:r w:rsidRPr="008E1AE3" w:rsidR="00927762">
        <w:t xml:space="preserve">from </w:t>
      </w:r>
      <w:r w:rsidRPr="008E1AE3">
        <w:t>18,00</w:t>
      </w:r>
      <w:r w:rsidR="006A1015">
        <w:t>7</w:t>
      </w:r>
      <w:r w:rsidRPr="008E1AE3">
        <w:t xml:space="preserve"> </w:t>
      </w:r>
      <w:r w:rsidRPr="008E1AE3" w:rsidR="00927762">
        <w:t xml:space="preserve">as </w:t>
      </w:r>
      <w:r w:rsidRPr="008E1AE3">
        <w:t>at 30 June 2017 to 18,88</w:t>
      </w:r>
      <w:r w:rsidR="006A1015">
        <w:t>1</w:t>
      </w:r>
      <w:r w:rsidRPr="008E1AE3">
        <w:t xml:space="preserve"> </w:t>
      </w:r>
      <w:r w:rsidRPr="008E1AE3" w:rsidR="00927762">
        <w:t xml:space="preserve">as </w:t>
      </w:r>
      <w:r w:rsidRPr="008E1AE3">
        <w:t xml:space="preserve">at 30 June 2018. </w:t>
      </w:r>
    </w:p>
    <w:p w:rsidR="008B39EE" w:rsidP="00CF188F" w14:paraId="152DCF23" w14:textId="38A94E4C">
      <w:pPr>
        <w:pStyle w:val="ListParagraph"/>
        <w:numPr>
          <w:ilvl w:val="0"/>
          <w:numId w:val="17"/>
        </w:numPr>
        <w:shd w:val="clear" w:color="auto" w:fill="DAEEF3" w:themeFill="accent5" w:themeFillTint="33"/>
      </w:pPr>
      <w:r w:rsidRPr="008E1AE3">
        <w:t xml:space="preserve">As at 30 June 2018, the average eligibility open job limit was $2.3 million, an increase of 17% from 30 June 2017. </w:t>
      </w:r>
    </w:p>
    <w:p w:rsidR="00583DBE" w:rsidP="00CF188F" w14:paraId="4D8BE76A" w14:textId="6C6E2E53">
      <w:pPr>
        <w:pStyle w:val="ListParagraph"/>
        <w:numPr>
          <w:ilvl w:val="0"/>
          <w:numId w:val="17"/>
        </w:numPr>
        <w:shd w:val="clear" w:color="auto" w:fill="DAEEF3" w:themeFill="accent5" w:themeFillTint="33"/>
      </w:pPr>
      <w:bookmarkStart w:id="128" w:name="_Hlk7184340"/>
      <w:r w:rsidRPr="008E1AE3">
        <w:t>There was a 23% increase in the total eligibility open job limit to $44</w:t>
      </w:r>
      <w:r w:rsidR="000A5F5E">
        <w:t>.1</w:t>
      </w:r>
      <w:r w:rsidRPr="008E1AE3">
        <w:t xml:space="preserve"> billion as at 30 June 2018 compared to $3</w:t>
      </w:r>
      <w:r w:rsidR="00BA3F94">
        <w:t>5.9</w:t>
      </w:r>
      <w:r w:rsidRPr="008E1AE3">
        <w:t xml:space="preserve"> billion </w:t>
      </w:r>
      <w:r w:rsidRPr="008E1AE3" w:rsidR="00927762">
        <w:t>as at 30 June 2017</w:t>
      </w:r>
      <w:r w:rsidRPr="008E1AE3">
        <w:t>.</w:t>
      </w:r>
      <w:r w:rsidR="00CF188F">
        <w:t xml:space="preserve"> </w:t>
      </w:r>
    </w:p>
    <w:p w:rsidR="00D52B06" w:rsidRPr="008E1AE3" w:rsidP="00CF188F" w14:paraId="4A8E9112" w14:textId="1F94CB82">
      <w:pPr>
        <w:pStyle w:val="ListParagraph"/>
        <w:numPr>
          <w:ilvl w:val="0"/>
          <w:numId w:val="17"/>
        </w:numPr>
        <w:shd w:val="clear" w:color="auto" w:fill="DAEEF3" w:themeFill="accent5" w:themeFillTint="33"/>
      </w:pPr>
      <w:bookmarkEnd w:id="128"/>
      <w:r>
        <w:t>There was</w:t>
      </w:r>
      <w:r w:rsidRPr="00CF188F" w:rsidR="00CF188F">
        <w:t xml:space="preserve"> a noticeable higher proportion of eligible builders </w:t>
      </w:r>
      <w:r>
        <w:t xml:space="preserve">who were </w:t>
      </w:r>
      <w:r w:rsidR="00583DBE">
        <w:t xml:space="preserve">granted open job limits in the </w:t>
      </w:r>
      <w:r w:rsidRPr="00CF188F" w:rsidR="00CF188F">
        <w:t xml:space="preserve">over $1 </w:t>
      </w:r>
      <w:r w:rsidR="00583DBE">
        <w:t xml:space="preserve">million to $2 million, and over $2 million to $3 </w:t>
      </w:r>
      <w:r w:rsidRPr="00CF188F" w:rsidR="00CF188F">
        <w:t xml:space="preserve">million </w:t>
      </w:r>
      <w:r w:rsidR="00583DBE">
        <w:t xml:space="preserve">brackets, </w:t>
      </w:r>
      <w:r w:rsidRPr="00CF188F" w:rsidR="00CF188F">
        <w:t>as at June 2018 compared with the previous year.</w:t>
      </w:r>
    </w:p>
    <w:p w:rsidR="00D52B06" w:rsidRPr="008E1AE3" w:rsidP="00C53DBD" w14:paraId="5A6037BA" w14:textId="25F1DE05">
      <w:pPr>
        <w:pStyle w:val="ListParagraph"/>
        <w:numPr>
          <w:ilvl w:val="0"/>
          <w:numId w:val="17"/>
        </w:numPr>
        <w:shd w:val="clear" w:color="auto" w:fill="DAEEF3" w:themeFill="accent5" w:themeFillTint="33"/>
      </w:pPr>
      <w:r w:rsidRPr="008E1AE3">
        <w:t xml:space="preserve">The </w:t>
      </w:r>
      <w:r w:rsidRPr="008E1AE3" w:rsidR="00927762">
        <w:t xml:space="preserve">proportion </w:t>
      </w:r>
      <w:r w:rsidRPr="008E1AE3">
        <w:t xml:space="preserve">of builders with open job limits over $1 million has increased from 37% </w:t>
      </w:r>
      <w:r w:rsidRPr="008E1AE3" w:rsidR="00927762">
        <w:t xml:space="preserve">as </w:t>
      </w:r>
      <w:r w:rsidRPr="008E1AE3">
        <w:t xml:space="preserve">at 30 June 2017 to 58% </w:t>
      </w:r>
      <w:r w:rsidRPr="008E1AE3" w:rsidR="00927762">
        <w:t xml:space="preserve">as </w:t>
      </w:r>
      <w:r w:rsidRPr="008E1AE3">
        <w:t xml:space="preserve">at 30 June 2018. This change in the composition of builder </w:t>
      </w:r>
      <w:r w:rsidR="003905C3">
        <w:t>eligibility</w:t>
      </w:r>
      <w:r w:rsidRPr="008E1AE3">
        <w:t xml:space="preserve"> limits occurred mainly in the Mar 2018 quarter.</w:t>
      </w:r>
    </w:p>
    <w:p w:rsidR="00D52B06" w:rsidRPr="008E1AE3" w:rsidP="00C53DBD" w14:paraId="3846D2C2" w14:textId="61DFC80C">
      <w:pPr>
        <w:pStyle w:val="ListParagraph"/>
        <w:numPr>
          <w:ilvl w:val="0"/>
          <w:numId w:val="17"/>
        </w:numPr>
        <w:shd w:val="clear" w:color="auto" w:fill="DAEEF3" w:themeFill="accent5" w:themeFillTint="33"/>
      </w:pPr>
      <w:r w:rsidRPr="008E1AE3">
        <w:t>A</w:t>
      </w:r>
      <w:r w:rsidRPr="008E1AE3" w:rsidR="00927762">
        <w:t>s a</w:t>
      </w:r>
      <w:r w:rsidRPr="008E1AE3">
        <w:t xml:space="preserve">t 30 June 2018, </w:t>
      </w:r>
      <w:r w:rsidRPr="008E1AE3" w:rsidR="00927762">
        <w:t>30</w:t>
      </w:r>
      <w:r w:rsidRPr="008E1AE3">
        <w:t xml:space="preserve">% of </w:t>
      </w:r>
      <w:r w:rsidRPr="008E1AE3" w:rsidR="00927762">
        <w:t xml:space="preserve">eligible </w:t>
      </w:r>
      <w:r w:rsidRPr="008E1AE3">
        <w:t xml:space="preserve">builders have no projects </w:t>
      </w:r>
      <w:r w:rsidRPr="008E1AE3" w:rsidR="00927762">
        <w:t xml:space="preserve">currently </w:t>
      </w:r>
      <w:r w:rsidRPr="008E1AE3">
        <w:t>under construction, while 5% are u</w:t>
      </w:r>
      <w:r w:rsidRPr="008E1AE3" w:rsidR="00927762">
        <w:t>tili</w:t>
      </w:r>
      <w:r w:rsidRPr="008E1AE3">
        <w:t xml:space="preserve">sing more than 90% of their open job limit. </w:t>
      </w:r>
    </w:p>
    <w:p w:rsidR="00AC216F" w:rsidRPr="008E1AE3" w:rsidP="004A6998" w14:paraId="45D2C618" w14:textId="3CEAD16B">
      <w:r w:rsidRPr="008E1AE3">
        <w:t xml:space="preserve">‘Eligibility’ is the term used to describe </w:t>
      </w:r>
      <w:r w:rsidR="00E1598C">
        <w:t xml:space="preserve">the approval by </w:t>
      </w:r>
      <w:r w:rsidR="00785FEB">
        <w:t>icare HBCF</w:t>
      </w:r>
      <w:r w:rsidRPr="008E1AE3">
        <w:t xml:space="preserve"> to </w:t>
      </w:r>
      <w:r w:rsidR="008066F4">
        <w:t xml:space="preserve">enable a builder to </w:t>
      </w:r>
      <w:r w:rsidRPr="008E1AE3">
        <w:t xml:space="preserve">apply for a </w:t>
      </w:r>
      <w:r w:rsidR="00CB1994">
        <w:t>contract</w:t>
      </w:r>
      <w:r w:rsidRPr="008E1AE3">
        <w:t xml:space="preserve"> of insurance for </w:t>
      </w:r>
      <w:r w:rsidRPr="000056F1" w:rsidR="000056F1">
        <w:t>residential building work in NSW</w:t>
      </w:r>
      <w:r w:rsidRPr="008E1AE3">
        <w:t xml:space="preserve">, and the conditions under which the insurance may be granted. </w:t>
      </w:r>
      <w:r w:rsidR="00633AA6">
        <w:t xml:space="preserve">A builder’s eligibility </w:t>
      </w:r>
      <w:r w:rsidR="00DE3EF5">
        <w:t>limits</w:t>
      </w:r>
      <w:r w:rsidR="001604B6">
        <w:t xml:space="preserve"> </w:t>
      </w:r>
      <w:r w:rsidR="00D43E26">
        <w:t xml:space="preserve">the </w:t>
      </w:r>
      <w:r w:rsidR="00BA369D">
        <w:t>maximum number</w:t>
      </w:r>
      <w:r w:rsidR="00FA294B">
        <w:t>,</w:t>
      </w:r>
      <w:r w:rsidR="00641580">
        <w:t xml:space="preserve"> </w:t>
      </w:r>
      <w:r w:rsidR="00BA369D">
        <w:t>value</w:t>
      </w:r>
      <w:r w:rsidR="00FA294B">
        <w:t xml:space="preserve">, </w:t>
      </w:r>
      <w:r w:rsidR="00BA369D">
        <w:t xml:space="preserve">and types of </w:t>
      </w:r>
      <w:r w:rsidR="00FA294B">
        <w:t xml:space="preserve">building projects </w:t>
      </w:r>
      <w:r w:rsidR="00641580">
        <w:t xml:space="preserve">for which icare HBCF </w:t>
      </w:r>
      <w:r w:rsidR="002601B6">
        <w:t>will</w:t>
      </w:r>
      <w:r w:rsidR="00641580">
        <w:t xml:space="preserve"> insure</w:t>
      </w:r>
      <w:r w:rsidR="002601B6">
        <w:t xml:space="preserve"> the builder.</w:t>
      </w:r>
    </w:p>
    <w:p w:rsidR="00F31C57" w:rsidRPr="008E1AE3" w:rsidP="004A6998" w14:paraId="36568B44" w14:textId="2BE445D1">
      <w:r w:rsidRPr="008E1AE3">
        <w:t>The eligibility d</w:t>
      </w:r>
      <w:r w:rsidRPr="008E1AE3" w:rsidR="00AC216F">
        <w:t xml:space="preserve">ata in this section is reported at </w:t>
      </w:r>
      <w:r w:rsidRPr="008E1AE3">
        <w:t>the end of each financial year</w:t>
      </w:r>
      <w:r w:rsidRPr="008E1AE3" w:rsidR="00AC216F">
        <w:t>.</w:t>
      </w:r>
      <w:r w:rsidRPr="008E1AE3">
        <w:t xml:space="preserve"> </w:t>
      </w:r>
    </w:p>
    <w:p w:rsidR="004A6998" w:rsidRPr="008E1AE3" w:rsidP="0029108A" w14:paraId="5702F6E0" w14:textId="66D66607">
      <w:pPr>
        <w:pStyle w:val="Heading3"/>
      </w:pPr>
      <w:bookmarkStart w:id="129" w:name="_Toc530651477"/>
      <w:bookmarkStart w:id="130" w:name="_Toc530663754"/>
      <w:bookmarkStart w:id="131" w:name="_Toc530672067"/>
      <w:bookmarkStart w:id="132" w:name="_Toc530672509"/>
      <w:bookmarkStart w:id="133" w:name="_Toc530674175"/>
      <w:bookmarkStart w:id="134" w:name="_Toc531180079"/>
      <w:bookmarkStart w:id="135" w:name="_Toc531181918"/>
      <w:bookmarkStart w:id="136" w:name="_Toc2073636"/>
      <w:bookmarkStart w:id="137" w:name="_Toc2083956"/>
      <w:bookmarkStart w:id="138" w:name="_Toc2085878"/>
      <w:bookmarkStart w:id="139" w:name="_Toc4144931"/>
      <w:bookmarkStart w:id="140" w:name="_Toc4483519"/>
      <w:bookmarkStart w:id="141" w:name="_Toc4485210"/>
      <w:bookmarkStart w:id="142" w:name="_Toc15488349"/>
      <w:r w:rsidRPr="008E1AE3">
        <w:t xml:space="preserve">Builder </w:t>
      </w:r>
      <w:bookmarkEnd w:id="129"/>
      <w:bookmarkEnd w:id="130"/>
      <w:bookmarkEnd w:id="131"/>
      <w:bookmarkEnd w:id="132"/>
      <w:bookmarkEnd w:id="133"/>
      <w:bookmarkEnd w:id="134"/>
      <w:bookmarkEnd w:id="135"/>
      <w:bookmarkEnd w:id="136"/>
      <w:bookmarkEnd w:id="137"/>
      <w:bookmarkEnd w:id="138"/>
      <w:bookmarkEnd w:id="139"/>
      <w:bookmarkEnd w:id="140"/>
      <w:bookmarkEnd w:id="141"/>
      <w:r w:rsidR="003905C3">
        <w:t>eligibility</w:t>
      </w:r>
      <w:bookmarkEnd w:id="142"/>
      <w:r w:rsidRPr="008E1AE3">
        <w:t xml:space="preserve"> </w:t>
      </w:r>
    </w:p>
    <w:p w:rsidR="004A6998" w:rsidRPr="008E1AE3" w:rsidP="004A6998" w14:paraId="55B06EA6" w14:textId="1B8AA7C2">
      <w:r w:rsidRPr="008E1AE3">
        <w:t xml:space="preserve">From August 2015, icare </w:t>
      </w:r>
      <w:r w:rsidR="000056F1">
        <w:t>HBCF</w:t>
      </w:r>
      <w:r w:rsidRPr="008E1AE3">
        <w:t xml:space="preserve"> changed </w:t>
      </w:r>
      <w:r w:rsidR="00FA3FAF">
        <w:t>its approach to eligib</w:t>
      </w:r>
      <w:r w:rsidR="007E0AA0">
        <w:t>i</w:t>
      </w:r>
      <w:r w:rsidR="00FA3FAF">
        <w:t>lity</w:t>
      </w:r>
      <w:r w:rsidR="007E0AA0">
        <w:t xml:space="preserve">. </w:t>
      </w:r>
      <w:r w:rsidR="00C57DE4">
        <w:t>Prior to August 2015</w:t>
      </w:r>
      <w:r w:rsidR="00134608">
        <w:t xml:space="preserve"> icare HBCF </w:t>
      </w:r>
      <w:r w:rsidR="00012286">
        <w:t>issued eligibility</w:t>
      </w:r>
      <w:r w:rsidR="00DF09B5">
        <w:t>,</w:t>
      </w:r>
      <w:r w:rsidR="00012286">
        <w:t xml:space="preserve"> and </w:t>
      </w:r>
      <w:r w:rsidR="00134608">
        <w:t xml:space="preserve">measured </w:t>
      </w:r>
      <w:r w:rsidR="00126527">
        <w:t xml:space="preserve">builder activity within </w:t>
      </w:r>
      <w:r w:rsidR="004053EB">
        <w:t>eligibility</w:t>
      </w:r>
      <w:r w:rsidR="00083B21">
        <w:t xml:space="preserve"> limits</w:t>
      </w:r>
      <w:r w:rsidR="00DF09B5">
        <w:t>,</w:t>
      </w:r>
      <w:r w:rsidR="00083B21">
        <w:t xml:space="preserve"> </w:t>
      </w:r>
      <w:r w:rsidR="00126527">
        <w:t>on an annual basis</w:t>
      </w:r>
      <w:r w:rsidR="00DF09B5">
        <w:t>. Th</w:t>
      </w:r>
      <w:r w:rsidR="00441E26">
        <w:t>ese</w:t>
      </w:r>
      <w:r w:rsidR="00DF09B5">
        <w:t xml:space="preserve"> w</w:t>
      </w:r>
      <w:r w:rsidR="00441E26">
        <w:t>ere</w:t>
      </w:r>
      <w:r w:rsidR="00126527">
        <w:t xml:space="preserve"> known as </w:t>
      </w:r>
      <w:r w:rsidR="009A2492">
        <w:t>‘</w:t>
      </w:r>
      <w:r w:rsidRPr="008E1AE3">
        <w:t>annual turnover limits</w:t>
      </w:r>
      <w:r w:rsidR="009A2492">
        <w:t>’</w:t>
      </w:r>
      <w:r w:rsidR="00126527">
        <w:t>. From August 2015 onwards, icar</w:t>
      </w:r>
      <w:r w:rsidR="00B62635">
        <w:t xml:space="preserve">e HBCF </w:t>
      </w:r>
      <w:r w:rsidR="001021E7">
        <w:t xml:space="preserve">has instead </w:t>
      </w:r>
      <w:r w:rsidR="00B341AB">
        <w:t>issued and monitored eligibility on the basis of t</w:t>
      </w:r>
      <w:r w:rsidR="001021E7">
        <w:t>he</w:t>
      </w:r>
      <w:r w:rsidR="00AB7035">
        <w:t xml:space="preserve"> </w:t>
      </w:r>
      <w:r w:rsidR="00A34C96">
        <w:t>project</w:t>
      </w:r>
      <w:r w:rsidR="00287DDD">
        <w:t>s</w:t>
      </w:r>
      <w:r w:rsidR="00A34C96">
        <w:t xml:space="preserve"> </w:t>
      </w:r>
      <w:r w:rsidR="00AB7035">
        <w:t xml:space="preserve">a builder </w:t>
      </w:r>
      <w:r w:rsidR="001021E7">
        <w:t>is</w:t>
      </w:r>
      <w:r w:rsidR="003B1DC9">
        <w:t xml:space="preserve"> do</w:t>
      </w:r>
      <w:r w:rsidR="001021E7">
        <w:t>ing</w:t>
      </w:r>
      <w:r w:rsidR="003B1DC9">
        <w:t xml:space="preserve"> at </w:t>
      </w:r>
      <w:r w:rsidR="00A34C96">
        <w:t>any point in time</w:t>
      </w:r>
      <w:r w:rsidR="00441E26">
        <w:t>. These are</w:t>
      </w:r>
      <w:r w:rsidR="00A34C96">
        <w:t xml:space="preserve"> known as</w:t>
      </w:r>
      <w:r w:rsidRPr="008E1AE3">
        <w:t xml:space="preserve"> ‘open job limits’</w:t>
      </w:r>
      <w:r w:rsidRPr="008E1AE3" w:rsidR="003D72EC">
        <w:t>.</w:t>
      </w:r>
      <w:r w:rsidRPr="008E1AE3">
        <w:t xml:space="preserve"> </w:t>
      </w:r>
    </w:p>
    <w:p w:rsidR="00567371" w:rsidRPr="008E1AE3" w:rsidP="00674354" w14:paraId="7AAD11F5" w14:textId="4A625F3B">
      <w:r w:rsidRPr="008E1AE3">
        <w:fldChar w:fldCharType="begin"/>
      </w:r>
      <w:r w:rsidRPr="008E1AE3">
        <w:instrText xml:space="preserve"> REF _Ref530145095 \h </w:instrText>
      </w:r>
      <w:r w:rsidRPr="008E1AE3">
        <w:fldChar w:fldCharType="separate"/>
      </w:r>
      <w:r w:rsidRPr="008E1AE3" w:rsidR="00363D25">
        <w:t xml:space="preserve">Figure </w:t>
      </w:r>
      <w:r w:rsidR="00363D25">
        <w:rPr>
          <w:noProof/>
        </w:rPr>
        <w:t>1</w:t>
      </w:r>
      <w:r w:rsidRPr="008E1AE3">
        <w:fldChar w:fldCharType="end"/>
      </w:r>
      <w:r w:rsidRPr="008E1AE3">
        <w:t xml:space="preserve"> shows the number of builder</w:t>
      </w:r>
      <w:r w:rsidRPr="008E1AE3" w:rsidR="003115E2">
        <w:t xml:space="preserve">s with eligibility </w:t>
      </w:r>
      <w:r w:rsidRPr="008E1AE3">
        <w:t xml:space="preserve">at the end of </w:t>
      </w:r>
      <w:r w:rsidRPr="008E1AE3" w:rsidR="00167568">
        <w:t>each</w:t>
      </w:r>
      <w:r w:rsidRPr="008E1AE3">
        <w:t xml:space="preserve"> financial year</w:t>
      </w:r>
      <w:r w:rsidR="00282864">
        <w:t xml:space="preserve">, broken down </w:t>
      </w:r>
      <w:r w:rsidR="00717724">
        <w:t>by</w:t>
      </w:r>
      <w:r w:rsidR="00282864">
        <w:t xml:space="preserve"> the </w:t>
      </w:r>
      <w:r w:rsidR="00B40D0D">
        <w:t xml:space="preserve">maximum </w:t>
      </w:r>
      <w:r w:rsidR="00282864">
        <w:t>dollar value of</w:t>
      </w:r>
      <w:r w:rsidR="00717724">
        <w:t xml:space="preserve"> </w:t>
      </w:r>
      <w:r w:rsidR="008C4531">
        <w:t xml:space="preserve">work for which they were eligible </w:t>
      </w:r>
      <w:r w:rsidRPr="008E1AE3">
        <w:t>(</w:t>
      </w:r>
      <w:r w:rsidR="00712D27">
        <w:t xml:space="preserve">values grouped into bands by </w:t>
      </w:r>
      <w:r w:rsidR="005E25AD">
        <w:t>‘</w:t>
      </w:r>
      <w:r w:rsidRPr="008E1AE3">
        <w:t>annual turnover limits</w:t>
      </w:r>
      <w:r w:rsidR="005E25AD">
        <w:t>’</w:t>
      </w:r>
      <w:r w:rsidRPr="008E1AE3">
        <w:t xml:space="preserve"> </w:t>
      </w:r>
      <w:r w:rsidRPr="008E1AE3" w:rsidR="00195544">
        <w:t>for</w:t>
      </w:r>
      <w:r w:rsidR="005E25AD">
        <w:t xml:space="preserve"> the period to</w:t>
      </w:r>
      <w:r w:rsidRPr="008E1AE3" w:rsidR="00195544">
        <w:t xml:space="preserve"> June 2015 and </w:t>
      </w:r>
      <w:r w:rsidR="005E25AD">
        <w:t>‘open job limit</w:t>
      </w:r>
      <w:r w:rsidR="00712D27">
        <w:t>s</w:t>
      </w:r>
      <w:r w:rsidR="005E25AD">
        <w:t xml:space="preserve">’ </w:t>
      </w:r>
      <w:r w:rsidR="00712D27">
        <w:t>thereafter</w:t>
      </w:r>
      <w:r w:rsidRPr="008E1AE3" w:rsidR="00195544">
        <w:t>.</w:t>
      </w:r>
      <w:r w:rsidRPr="008E1AE3">
        <w:t>)</w:t>
      </w:r>
    </w:p>
    <w:p w:rsidR="006B18A8" w:rsidRPr="008E1AE3" w:rsidP="006B18A8" w14:paraId="5FE04B8C" w14:textId="1C509A29">
      <w:r w:rsidRPr="008E1AE3">
        <w:fldChar w:fldCharType="begin"/>
      </w:r>
      <w:r w:rsidRPr="008E1AE3">
        <w:instrText xml:space="preserve"> REF _Ref1973400 \h </w:instrText>
      </w:r>
      <w:r w:rsidRPr="008E1AE3">
        <w:fldChar w:fldCharType="separate"/>
      </w:r>
      <w:r w:rsidRPr="008E1AE3" w:rsidR="00363D25">
        <w:t xml:space="preserve">Figure </w:t>
      </w:r>
      <w:r w:rsidR="00363D25">
        <w:rPr>
          <w:noProof/>
        </w:rPr>
        <w:t>2</w:t>
      </w:r>
      <w:r w:rsidRPr="008E1AE3">
        <w:fldChar w:fldCharType="end"/>
      </w:r>
      <w:r w:rsidRPr="008E1AE3">
        <w:t xml:space="preserve"> shows the total and average open job limits for builder </w:t>
      </w:r>
      <w:r w:rsidR="003905C3">
        <w:t>eligibility</w:t>
      </w:r>
      <w:r w:rsidRPr="008E1AE3">
        <w:t xml:space="preserve"> at the end of each financial year</w:t>
      </w:r>
      <w:r w:rsidRPr="008E1AE3" w:rsidR="008F1DBD">
        <w:t>. (By the annual turnover limits bands for June 2015 and earlier.)</w:t>
      </w:r>
      <w:r w:rsidRPr="008E1AE3">
        <w:t xml:space="preserve"> </w:t>
      </w:r>
    </w:p>
    <w:p w:rsidR="006B6AB4" w:rsidP="00DE3EF5" w14:paraId="2DB9D6FC" w14:textId="09274D30">
      <w:r w:rsidRPr="008E1AE3">
        <w:fldChar w:fldCharType="begin"/>
      </w:r>
      <w:r w:rsidRPr="008E1AE3">
        <w:instrText xml:space="preserve"> REF _Ref530551404 \h  \* MERGEFORMAT </w:instrText>
      </w:r>
      <w:r w:rsidRPr="008E1AE3">
        <w:fldChar w:fldCharType="separate"/>
      </w:r>
      <w:r w:rsidRPr="008E1AE3" w:rsidR="00363D25">
        <w:t xml:space="preserve">Figure </w:t>
      </w:r>
      <w:r w:rsidR="00363D25">
        <w:rPr>
          <w:noProof/>
        </w:rPr>
        <w:t>3</w:t>
      </w:r>
      <w:r w:rsidRPr="008E1AE3" w:rsidR="00363D25">
        <w:t xml:space="preserve"> </w:t>
      </w:r>
      <w:r w:rsidRPr="008E1AE3">
        <w:fldChar w:fldCharType="end"/>
      </w:r>
      <w:r w:rsidRPr="008E1AE3">
        <w:t xml:space="preserve">shows the number of eligible builders broken down by their utilisation band </w:t>
      </w:r>
      <w:r w:rsidR="006B38D3">
        <w:t xml:space="preserve">(i.e. the extent to which </w:t>
      </w:r>
      <w:r w:rsidR="00034638">
        <w:t>builders have used up their available eligibility). T</w:t>
      </w:r>
      <w:r w:rsidRPr="008E1AE3">
        <w:t xml:space="preserve">he utilisation percentage is calculated as the used contract amount </w:t>
      </w:r>
      <w:r w:rsidRPr="008E1AE3" w:rsidR="006F21EA">
        <w:t xml:space="preserve">divided by approved job </w:t>
      </w:r>
      <w:r w:rsidRPr="008E1AE3" w:rsidR="00790980">
        <w:t>value</w:t>
      </w:r>
      <w:r w:rsidRPr="008E1AE3">
        <w:t>.</w:t>
      </w:r>
      <w:r w:rsidRPr="008E1AE3">
        <w:t xml:space="preserve"> </w:t>
      </w:r>
      <w:r>
        <w:br w:type="page"/>
      </w:r>
    </w:p>
    <w:p w:rsidR="00674354" w:rsidRPr="008E1AE3" w:rsidP="00B66B77" w14:paraId="12D84A56" w14:textId="4D540CCF">
      <w:pPr>
        <w:pStyle w:val="Figures"/>
      </w:pPr>
      <w:bookmarkStart w:id="143" w:name="_Ref530145095"/>
      <w:r w:rsidRPr="008E1AE3">
        <w:t xml:space="preserve">Figure </w:t>
      </w:r>
      <w:r w:rsidR="00B66B77">
        <w:fldChar w:fldCharType="begin"/>
      </w:r>
      <w:r w:rsidR="00B66B77">
        <w:instrText xml:space="preserve"> SEQ Figure \* ARABIC </w:instrText>
      </w:r>
      <w:r w:rsidR="00B66B77">
        <w:fldChar w:fldCharType="separate"/>
      </w:r>
      <w:r w:rsidR="00363D25">
        <w:t>1</w:t>
      </w:r>
      <w:r w:rsidR="00B66B77">
        <w:fldChar w:fldCharType="end"/>
      </w:r>
      <w:bookmarkEnd w:id="143"/>
      <w:r w:rsidRPr="008E1AE3">
        <w:t xml:space="preserve">: </w:t>
      </w:r>
      <w:r w:rsidR="00460695">
        <w:t xml:space="preserve">Breakdown of </w:t>
      </w:r>
      <w:r w:rsidRPr="008E1AE3">
        <w:t xml:space="preserve">builder </w:t>
      </w:r>
      <w:r w:rsidR="003905C3">
        <w:t>eligibilit</w:t>
      </w:r>
      <w:r w:rsidR="00460695">
        <w:t>ies</w:t>
      </w:r>
      <w:r w:rsidRPr="008E1AE3">
        <w:t xml:space="preserve"> by </w:t>
      </w:r>
      <w:r w:rsidR="00460695">
        <w:t xml:space="preserve">number and </w:t>
      </w:r>
      <w:r w:rsidR="00E73295">
        <w:t xml:space="preserve">value </w:t>
      </w:r>
      <w:r w:rsidRPr="008E1AE3">
        <w:t xml:space="preserve">at the end of </w:t>
      </w:r>
      <w:r w:rsidR="000B0146">
        <w:t>each</w:t>
      </w:r>
      <w:r w:rsidRPr="008E1AE3" w:rsidR="000B0146">
        <w:t xml:space="preserve"> </w:t>
      </w:r>
      <w:r w:rsidRPr="008E1AE3">
        <w:t>financial year</w:t>
      </w:r>
    </w:p>
    <w:p w:rsidR="00DB1951" w:rsidP="00067F5E" w14:paraId="677D6B29" w14:textId="77777777">
      <w:pPr>
        <w:spacing w:after="360"/>
      </w:pPr>
      <w:r w:rsidRPr="008E1AE3">
        <w:rPr>
          <w:noProof/>
        </w:rPr>
        <w:drawing>
          <wp:inline distT="0" distB="0" distL="0" distR="0">
            <wp:extent cx="6102349" cy="3663950"/>
            <wp:effectExtent l="0" t="0" r="0" b="0"/>
            <wp:docPr id="1965188793" name="Picture 1965188793" descr="This chart shows number of builder eligibilities split by limit bands. The limit bands are calculated using annual turnover limit prior to 1 July 2015, whilst the open job limits are used post 30 June 2015. &#10;&#10;The total number of builder eligibilities have been steadily increasing since June 2013. &#10;&#10;There was a significant change in the composition of builder eligibility limits in the March 2018 quarter which resulted in higher proportion of builders with open job limits over $1 million. &#10;" title="Number of builder eligibilities by open job limit band at the end of the financi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200019" name=""/>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6102349" cy="3663950"/>
                    </a:xfrm>
                    <a:prstGeom prst="rect">
                      <a:avLst/>
                    </a:prstGeom>
                  </pic:spPr>
                </pic:pic>
              </a:graphicData>
            </a:graphic>
          </wp:inline>
        </w:drawing>
      </w:r>
    </w:p>
    <w:p w:rsidR="00D925A7" w:rsidRPr="008E1AE3" w:rsidP="00067F5E" w14:paraId="51D7EB8B" w14:textId="2DDB3142">
      <w:pPr>
        <w:spacing w:after="360"/>
      </w:pPr>
      <w:r>
        <w:t>Note</w:t>
      </w:r>
      <w:r w:rsidR="009A2492">
        <w:t xml:space="preserve"> for </w:t>
      </w:r>
      <w:r w:rsidR="009A2492">
        <w:fldChar w:fldCharType="begin"/>
      </w:r>
      <w:r w:rsidR="009A2492">
        <w:instrText xml:space="preserve"> REF _Ref530145095 \h </w:instrText>
      </w:r>
      <w:r w:rsidR="009A2492">
        <w:fldChar w:fldCharType="separate"/>
      </w:r>
      <w:r w:rsidRPr="008E1AE3" w:rsidR="00363D25">
        <w:t xml:space="preserve">Figure </w:t>
      </w:r>
      <w:r w:rsidR="00363D25">
        <w:rPr>
          <w:noProof/>
        </w:rPr>
        <w:t>1</w:t>
      </w:r>
      <w:r w:rsidR="009A2492">
        <w:fldChar w:fldCharType="end"/>
      </w:r>
      <w:r w:rsidR="009A2492">
        <w:t xml:space="preserve"> and </w:t>
      </w:r>
      <w:r w:rsidR="009A2492">
        <w:fldChar w:fldCharType="begin"/>
      </w:r>
      <w:r w:rsidR="009A2492">
        <w:instrText xml:space="preserve"> REF _Ref1973400 \h </w:instrText>
      </w:r>
      <w:r w:rsidR="009A2492">
        <w:fldChar w:fldCharType="separate"/>
      </w:r>
      <w:r w:rsidRPr="008E1AE3" w:rsidR="00363D25">
        <w:t xml:space="preserve">Figure </w:t>
      </w:r>
      <w:r w:rsidR="00363D25">
        <w:rPr>
          <w:noProof/>
        </w:rPr>
        <w:t>2</w:t>
      </w:r>
      <w:r w:rsidR="009A2492">
        <w:fldChar w:fldCharType="end"/>
      </w:r>
      <w:r>
        <w:t xml:space="preserve">: </w:t>
      </w:r>
      <w:r w:rsidRPr="008E1AE3">
        <w:t xml:space="preserve">From August 2015, icare </w:t>
      </w:r>
      <w:r>
        <w:t>HBCF</w:t>
      </w:r>
      <w:r w:rsidRPr="008E1AE3">
        <w:t xml:space="preserve"> changed its eligibility limits for builders from </w:t>
      </w:r>
      <w:r w:rsidR="009A2492">
        <w:t>‘</w:t>
      </w:r>
      <w:r w:rsidRPr="008E1AE3">
        <w:t>annual turnover limits</w:t>
      </w:r>
      <w:r w:rsidR="009A2492">
        <w:t>’</w:t>
      </w:r>
      <w:r w:rsidRPr="008E1AE3">
        <w:t xml:space="preserve"> to ‘open job limits’.</w:t>
      </w:r>
      <w:r>
        <w:t xml:space="preserve"> </w:t>
      </w:r>
    </w:p>
    <w:p w:rsidR="00674354" w:rsidRPr="008E1AE3" w:rsidP="00B66B77" w14:paraId="5BC2C772" w14:textId="61E761EF">
      <w:pPr>
        <w:pStyle w:val="Figures"/>
        <w:rPr>
          <w:color w:val="FF0000"/>
        </w:rPr>
      </w:pPr>
      <w:bookmarkStart w:id="144" w:name="_Ref1973400"/>
      <w:r w:rsidRPr="008E1AE3">
        <w:t xml:space="preserve">Figure </w:t>
      </w:r>
      <w:r w:rsidRPr="008E1AE3" w:rsidR="0028341A">
        <w:fldChar w:fldCharType="begin"/>
      </w:r>
      <w:r w:rsidRPr="008E1AE3" w:rsidR="0028341A">
        <w:instrText xml:space="preserve"> SEQ Figure \* ARABIC </w:instrText>
      </w:r>
      <w:r w:rsidRPr="008E1AE3" w:rsidR="0028341A">
        <w:fldChar w:fldCharType="separate"/>
      </w:r>
      <w:r w:rsidR="00363D25">
        <w:t>2</w:t>
      </w:r>
      <w:r w:rsidRPr="008E1AE3" w:rsidR="0028341A">
        <w:fldChar w:fldCharType="end"/>
      </w:r>
      <w:bookmarkEnd w:id="144"/>
      <w:r w:rsidRPr="008E1AE3">
        <w:t xml:space="preserve">: </w:t>
      </w:r>
      <w:r w:rsidRPr="008E1AE3" w:rsidR="00737448">
        <w:t>Total</w:t>
      </w:r>
      <w:r w:rsidRPr="008E1AE3">
        <w:t xml:space="preserve"> </w:t>
      </w:r>
      <w:r w:rsidRPr="008E1AE3" w:rsidR="00020361">
        <w:t xml:space="preserve">($ billions) </w:t>
      </w:r>
      <w:r w:rsidRPr="008E1AE3">
        <w:t xml:space="preserve">and average </w:t>
      </w:r>
      <w:r w:rsidRPr="008E1AE3" w:rsidR="00020361">
        <w:t xml:space="preserve">($ millions) </w:t>
      </w:r>
      <w:r w:rsidR="00FA4737">
        <w:t xml:space="preserve">value of </w:t>
      </w:r>
      <w:r w:rsidR="00CA05CF">
        <w:t>builder eligibilit</w:t>
      </w:r>
      <w:r w:rsidR="00FA4737">
        <w:t>ies</w:t>
      </w:r>
    </w:p>
    <w:p w:rsidR="00674354" w:rsidP="00674354" w14:paraId="0D9362CA" w14:textId="3E86C10D">
      <w:r w:rsidRPr="008E1AE3">
        <w:rPr>
          <w:noProof/>
        </w:rPr>
        <w:drawing>
          <wp:inline distT="0" distB="0" distL="0" distR="0">
            <wp:extent cx="6108700" cy="3663950"/>
            <wp:effectExtent l="0" t="0" r="6350" b="0"/>
            <wp:docPr id="928663965" name="Picture 928663965" descr="This chart shows the total open job limits and the average open job limits. As in Figure 1, the job limits are calculated using annual turnover limit prior to 1 July 2015, whilst the open job limits are used post 30 June 2015.&#10;&#10;There has been generally a steady increasing trend since June 2013, with a significant increase in the last year. The average eligibility open job limit increased 17% from 30 June 2017 and the total eligibility open job limit increased 23% from 30 June 2017.&#10;" title="Total ($ billions) and average ($ millions) open job lim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60449" name=""/>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6108700" cy="3663950"/>
                    </a:xfrm>
                    <a:prstGeom prst="rect">
                      <a:avLst/>
                    </a:prstGeom>
                  </pic:spPr>
                </pic:pic>
              </a:graphicData>
            </a:graphic>
          </wp:inline>
        </w:drawing>
      </w:r>
    </w:p>
    <w:p w:rsidR="00D518D9" w:rsidP="00D518D9" w14:paraId="6C335451" w14:textId="7E8CB581">
      <w:pPr>
        <w:pStyle w:val="Figures"/>
      </w:pPr>
      <w:bookmarkStart w:id="145" w:name="_Ref530551404"/>
      <w:r w:rsidRPr="008E1AE3">
        <w:t xml:space="preserve">Figure </w:t>
      </w:r>
      <w:r w:rsidRPr="008E1AE3" w:rsidR="0028341A">
        <w:fldChar w:fldCharType="begin"/>
      </w:r>
      <w:r w:rsidRPr="008E1AE3" w:rsidR="0028341A">
        <w:instrText xml:space="preserve"> SEQ Figure \* ARABIC </w:instrText>
      </w:r>
      <w:r w:rsidRPr="008E1AE3" w:rsidR="0028341A">
        <w:fldChar w:fldCharType="separate"/>
      </w:r>
      <w:r w:rsidR="00363D25">
        <w:t>3</w:t>
      </w:r>
      <w:r w:rsidRPr="008E1AE3" w:rsidR="0028341A">
        <w:fldChar w:fldCharType="end"/>
      </w:r>
      <w:r w:rsidRPr="008E1AE3">
        <w:t xml:space="preserve"> </w:t>
      </w:r>
      <w:bookmarkEnd w:id="145"/>
      <w:r w:rsidR="003F7304">
        <w:t>B</w:t>
      </w:r>
      <w:r w:rsidRPr="008E1AE3" w:rsidR="003F7304">
        <w:t xml:space="preserve">uilders </w:t>
      </w:r>
      <w:r w:rsidR="003F7304">
        <w:t>e</w:t>
      </w:r>
      <w:r w:rsidRPr="008E1AE3" w:rsidR="00674354">
        <w:t>ligibl</w:t>
      </w:r>
      <w:r w:rsidR="003F7304">
        <w:t>ility</w:t>
      </w:r>
      <w:r w:rsidRPr="008E1AE3" w:rsidR="00674354">
        <w:t xml:space="preserve"> utilisation as at 30 June 2018</w:t>
      </w:r>
    </w:p>
    <w:p w:rsidR="008912EE" w:rsidRPr="008E1AE3" w:rsidP="00897883" w14:paraId="106C8895" w14:textId="31B3D1EA">
      <w:r>
        <w:rPr>
          <w:noProof/>
        </w:rPr>
        <w:drawing>
          <wp:inline distT="0" distB="0" distL="0" distR="0">
            <wp:extent cx="6108700" cy="3670300"/>
            <wp:effectExtent l="0" t="0" r="6350" b="6350"/>
            <wp:docPr id="16" name="Picture 16" descr="The chart shows builders eligibility utilisation as at 30 June 2018. &#10;&#10;Approximately one third of eligible builders have no projects currently under construction, while 5% are utilising more than 90% of their open job limit value. &#10;&#10;Also, there were 26% of eligible builders with utilisation between 0% and 30%, 22% of eligible builders with utilisation between 30% and 60% and 15% of eligible builders with utilisation between 60% and 90%.&#10;&#10;" title="Builders eligibility utilisation as at 30 Jun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90520" name="Picture 10"/>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6108700" cy="3670300"/>
                    </a:xfrm>
                    <a:prstGeom prst="rect">
                      <a:avLst/>
                    </a:prstGeom>
                    <a:noFill/>
                  </pic:spPr>
                </pic:pic>
              </a:graphicData>
            </a:graphic>
          </wp:inline>
        </w:drawing>
      </w:r>
      <w:r w:rsidR="00C07297">
        <w:t xml:space="preserve">Refer Appendix 2 Glossary for definition of </w:t>
      </w:r>
      <w:r w:rsidR="0050611D">
        <w:t xml:space="preserve">eligibility </w:t>
      </w:r>
      <w:r w:rsidR="00C07297">
        <w:t>utilisation</w:t>
      </w:r>
      <w:r w:rsidR="00B175B4">
        <w:t>.</w:t>
      </w:r>
    </w:p>
    <w:p w:rsidR="00CE0311" w:rsidRPr="008E1AE3" w14:paraId="498BC672" w14:textId="3167D0A9">
      <w:pPr>
        <w:spacing w:before="0" w:after="200"/>
      </w:pPr>
      <w:r w:rsidRPr="008E1AE3">
        <w:br w:type="page"/>
      </w:r>
    </w:p>
    <w:p w:rsidR="004A6998" w:rsidRPr="008E1AE3" w:rsidP="00C53DBD" w14:paraId="0CC7BE5F" w14:textId="38A1DBA9">
      <w:pPr>
        <w:pStyle w:val="Heading2"/>
        <w:numPr>
          <w:ilvl w:val="0"/>
          <w:numId w:val="16"/>
        </w:numPr>
        <w:ind w:left="360"/>
      </w:pPr>
      <w:bookmarkStart w:id="146" w:name="_Toc518654982"/>
      <w:bookmarkStart w:id="147" w:name="_Toc530651478"/>
      <w:bookmarkStart w:id="148" w:name="_Toc530663755"/>
      <w:bookmarkStart w:id="149" w:name="_Toc530672068"/>
      <w:bookmarkStart w:id="150" w:name="_Toc530672510"/>
      <w:bookmarkStart w:id="151" w:name="_Toc530674176"/>
      <w:bookmarkStart w:id="152" w:name="_Toc531180080"/>
      <w:bookmarkStart w:id="153" w:name="_Toc531181919"/>
      <w:bookmarkStart w:id="154" w:name="_Toc2073637"/>
      <w:bookmarkStart w:id="155" w:name="_Toc2083957"/>
      <w:bookmarkStart w:id="156" w:name="_Toc2085879"/>
      <w:bookmarkStart w:id="157" w:name="_Toc4144932"/>
      <w:bookmarkStart w:id="158" w:name="_Toc4483520"/>
      <w:bookmarkStart w:id="159" w:name="_Toc4485211"/>
      <w:bookmarkStart w:id="160" w:name="_Toc15488350"/>
      <w:r w:rsidRPr="008E1AE3">
        <w:t xml:space="preserve">Securities </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00C369D7">
        <w:t>held by icare HBCF from builders</w:t>
      </w:r>
      <w:bookmarkEnd w:id="160"/>
    </w:p>
    <w:p w:rsidR="00222A99" w:rsidRPr="008E1AE3" w:rsidP="00253A4E" w14:paraId="5DD10F88" w14:textId="3AF4711A">
      <w:pPr>
        <w:shd w:val="clear" w:color="auto" w:fill="DAEEF3" w:themeFill="accent5" w:themeFillTint="33"/>
        <w:rPr>
          <w:b/>
          <w:bCs/>
        </w:rPr>
      </w:pPr>
      <w:r w:rsidRPr="008E1AE3">
        <w:rPr>
          <w:b/>
          <w:bCs/>
        </w:rPr>
        <w:t>Key comments:</w:t>
      </w:r>
    </w:p>
    <w:p w:rsidR="18A3A78B" w:rsidRPr="008E1AE3" w:rsidP="00C53DBD" w14:paraId="0CA128E2" w14:textId="09FCAE96">
      <w:pPr>
        <w:pStyle w:val="ListParagraph"/>
        <w:numPr>
          <w:ilvl w:val="0"/>
          <w:numId w:val="17"/>
        </w:numPr>
        <w:shd w:val="clear" w:color="auto" w:fill="DAEEF3" w:themeFill="accent5" w:themeFillTint="33"/>
      </w:pPr>
      <w:r w:rsidRPr="008E1AE3">
        <w:t>There has been a 15% increase in the number of eligible builders with security over 2017/18 – increasing from 3,3</w:t>
      </w:r>
      <w:r w:rsidRPr="008E1AE3" w:rsidR="00361908">
        <w:t>29</w:t>
      </w:r>
      <w:r w:rsidRPr="008E1AE3">
        <w:t xml:space="preserve"> as at 30 June 2017 to </w:t>
      </w:r>
      <w:r w:rsidRPr="008E1AE3">
        <w:t>3,81</w:t>
      </w:r>
      <w:r w:rsidRPr="008E1AE3" w:rsidR="19FC34B8">
        <w:t>2</w:t>
      </w:r>
      <w:r w:rsidRPr="008E1AE3" w:rsidR="00ED5104">
        <w:t xml:space="preserve"> as at 30 June 2018</w:t>
      </w:r>
      <w:r w:rsidRPr="008E1AE3" w:rsidR="003308AF">
        <w:t>.</w:t>
      </w:r>
    </w:p>
    <w:p w:rsidR="00222A99" w:rsidRPr="008E1AE3" w:rsidP="00C53DBD" w14:paraId="3FC7BD12" w14:textId="3DC25522">
      <w:pPr>
        <w:pStyle w:val="ListParagraph"/>
        <w:numPr>
          <w:ilvl w:val="0"/>
          <w:numId w:val="17"/>
        </w:numPr>
        <w:shd w:val="clear" w:color="auto" w:fill="DAEEF3" w:themeFill="accent5" w:themeFillTint="33"/>
      </w:pPr>
      <w:r w:rsidRPr="008E1AE3">
        <w:t>The average value of security provided by</w:t>
      </w:r>
      <w:r w:rsidRPr="008E1AE3" w:rsidR="000D772F">
        <w:t xml:space="preserve"> eligible</w:t>
      </w:r>
      <w:r w:rsidRPr="008E1AE3">
        <w:t xml:space="preserve"> builders has increased </w:t>
      </w:r>
      <w:r w:rsidRPr="008E1AE3" w:rsidR="000D772F">
        <w:t xml:space="preserve">by 13% over 2017/18 - increasing </w:t>
      </w:r>
      <w:r w:rsidRPr="008E1AE3">
        <w:t xml:space="preserve">from $214K </w:t>
      </w:r>
      <w:r w:rsidRPr="008E1AE3" w:rsidR="000D772F">
        <w:t xml:space="preserve">as </w:t>
      </w:r>
      <w:r w:rsidRPr="008E1AE3">
        <w:t>at 30 June 2017 to $241K at 30 June 2018.</w:t>
      </w:r>
    </w:p>
    <w:p w:rsidR="003A01E5" w:rsidRPr="008E1AE3" w:rsidP="22E91261" w14:paraId="4367AC70" w14:textId="6A33811A">
      <w:r>
        <w:t>icare HBCF</w:t>
      </w:r>
      <w:r w:rsidRPr="008E1AE3" w:rsidR="004A6998">
        <w:t xml:space="preserve"> </w:t>
      </w:r>
      <w:r w:rsidR="00FA6BDA">
        <w:t>requires some builders to provide</w:t>
      </w:r>
      <w:r w:rsidRPr="008E1AE3" w:rsidR="004A6998">
        <w:t xml:space="preserve"> security in the form of a deed of indemnity as a condition of approving eligibility or providing </w:t>
      </w:r>
      <w:r w:rsidR="00F7428F">
        <w:t>a contract of insurance</w:t>
      </w:r>
      <w:r w:rsidRPr="008E1AE3" w:rsidR="00F7428F">
        <w:t xml:space="preserve"> </w:t>
      </w:r>
      <w:r w:rsidRPr="008E1AE3" w:rsidR="004A6998">
        <w:t xml:space="preserve">for a specific project. </w:t>
      </w:r>
      <w:r w:rsidRPr="008E1AE3" w:rsidR="00F21AE4">
        <w:t>In some circumstances</w:t>
      </w:r>
      <w:r w:rsidRPr="008E1AE3" w:rsidR="00BC4BC7">
        <w:t>,</w:t>
      </w:r>
      <w:r w:rsidRPr="008E1AE3" w:rsidR="00F21AE4">
        <w:t xml:space="preserve"> builders may provide a bank guarantee. </w:t>
      </w:r>
    </w:p>
    <w:p w:rsidR="004A6998" w:rsidRPr="008E1AE3" w:rsidP="00067F5E" w14:paraId="65DF0904" w14:textId="3568074B">
      <w:pPr>
        <w:spacing w:after="360"/>
      </w:pPr>
      <w:r w:rsidRPr="008E1AE3">
        <w:t xml:space="preserve">Disclaimer: Note that </w:t>
      </w:r>
      <w:r w:rsidR="00363B0B">
        <w:t>the</w:t>
      </w:r>
      <w:r w:rsidRPr="008E1AE3" w:rsidR="00872711">
        <w:t xml:space="preserve"> e</w:t>
      </w:r>
      <w:r w:rsidRPr="008E1AE3" w:rsidR="003A01E5">
        <w:t>ligibilit</w:t>
      </w:r>
      <w:r w:rsidRPr="008E1AE3" w:rsidR="00B13068">
        <w:t>y deeds of i</w:t>
      </w:r>
      <w:r w:rsidRPr="008E1AE3" w:rsidR="003A01E5">
        <w:t>ndemnity expire 36 months after the completion date of the last building project</w:t>
      </w:r>
      <w:r w:rsidRPr="008E1AE3" w:rsidR="00907BD3">
        <w:t xml:space="preserve"> where a </w:t>
      </w:r>
      <w:r w:rsidRPr="008E1AE3" w:rsidR="003A01E5">
        <w:t>claim or loss notification is not received.</w:t>
      </w:r>
      <w:r w:rsidRPr="008E1AE3" w:rsidR="0020053F">
        <w:t xml:space="preserve"> </w:t>
      </w:r>
      <w:r w:rsidR="00A55AB0">
        <w:t>T</w:t>
      </w:r>
      <w:r w:rsidRPr="008E1AE3" w:rsidR="00D66C40">
        <w:t xml:space="preserve">he information in </w:t>
      </w:r>
      <w:r w:rsidRPr="008E1AE3" w:rsidR="002A0C80">
        <w:fldChar w:fldCharType="begin"/>
      </w:r>
      <w:r w:rsidRPr="008E1AE3" w:rsidR="002A0C80">
        <w:instrText xml:space="preserve"> REF _Ref3987135 \h </w:instrText>
      </w:r>
      <w:r w:rsidRPr="008E1AE3" w:rsidR="002A0C80">
        <w:fldChar w:fldCharType="separate"/>
      </w:r>
      <w:r w:rsidRPr="008E1AE3" w:rsidR="00363D25">
        <w:t xml:space="preserve">Figure </w:t>
      </w:r>
      <w:r w:rsidR="00363D25">
        <w:rPr>
          <w:noProof/>
        </w:rPr>
        <w:t>4</w:t>
      </w:r>
      <w:r w:rsidRPr="008E1AE3" w:rsidR="002A0C80">
        <w:fldChar w:fldCharType="end"/>
      </w:r>
      <w:r w:rsidRPr="008E1AE3" w:rsidR="002A0C80">
        <w:t xml:space="preserve"> and </w:t>
      </w:r>
      <w:r w:rsidRPr="008E1AE3" w:rsidR="006856EB">
        <w:fldChar w:fldCharType="begin"/>
      </w:r>
      <w:r w:rsidRPr="008E1AE3" w:rsidR="006856EB">
        <w:instrText xml:space="preserve"> REF _Ref3987164 \h </w:instrText>
      </w:r>
      <w:r w:rsidRPr="008E1AE3" w:rsidR="006856EB">
        <w:fldChar w:fldCharType="separate"/>
      </w:r>
      <w:r w:rsidRPr="008E1AE3" w:rsidR="00363D25">
        <w:t xml:space="preserve">Figure </w:t>
      </w:r>
      <w:r w:rsidR="00363D25">
        <w:rPr>
          <w:noProof/>
        </w:rPr>
        <w:t>5</w:t>
      </w:r>
      <w:r w:rsidRPr="008E1AE3" w:rsidR="006856EB">
        <w:fldChar w:fldCharType="end"/>
      </w:r>
      <w:r w:rsidRPr="008E1AE3" w:rsidR="006856EB">
        <w:t xml:space="preserve"> </w:t>
      </w:r>
      <w:r w:rsidRPr="008E1AE3" w:rsidR="00F30CFA">
        <w:t>do</w:t>
      </w:r>
      <w:r w:rsidRPr="008E1AE3" w:rsidR="000D772F">
        <w:t>es</w:t>
      </w:r>
      <w:r w:rsidRPr="008E1AE3" w:rsidR="0090042A">
        <w:t xml:space="preserve"> not </w:t>
      </w:r>
      <w:r w:rsidRPr="008E1AE3" w:rsidR="008563C3">
        <w:t>reflect</w:t>
      </w:r>
      <w:r w:rsidRPr="008E1AE3" w:rsidR="0090042A">
        <w:t xml:space="preserve"> </w:t>
      </w:r>
      <w:r w:rsidR="00A55AB0">
        <w:t>whether</w:t>
      </w:r>
      <w:r w:rsidRPr="008E1AE3" w:rsidR="00495A4F">
        <w:t xml:space="preserve"> the </w:t>
      </w:r>
      <w:r w:rsidRPr="008E1AE3" w:rsidR="00195841">
        <w:t>de</w:t>
      </w:r>
      <w:r w:rsidRPr="008E1AE3" w:rsidR="000C4561">
        <w:t>e</w:t>
      </w:r>
      <w:r w:rsidRPr="008E1AE3" w:rsidR="00195841">
        <w:t>d</w:t>
      </w:r>
      <w:r w:rsidRPr="008E1AE3" w:rsidR="00B2781B">
        <w:t>s</w:t>
      </w:r>
      <w:r w:rsidRPr="008E1AE3" w:rsidR="00195841">
        <w:t xml:space="preserve"> of in</w:t>
      </w:r>
      <w:r w:rsidRPr="008E1AE3" w:rsidR="000C4561">
        <w:t xml:space="preserve">demnity </w:t>
      </w:r>
      <w:r w:rsidRPr="008E1AE3" w:rsidR="0020053F">
        <w:t>have met the above expiry conditions</w:t>
      </w:r>
      <w:r w:rsidRPr="008E1AE3" w:rsidR="00B2781B">
        <w:t xml:space="preserve">. </w:t>
      </w:r>
    </w:p>
    <w:p w:rsidR="004A6998" w:rsidRPr="008E1AE3" w:rsidP="00253A4E" w14:paraId="501F89BF" w14:textId="69785912">
      <w:pPr>
        <w:pStyle w:val="Figures"/>
      </w:pPr>
      <w:bookmarkStart w:id="161" w:name="_Ref3987135"/>
      <w:r w:rsidRPr="008E1AE3">
        <w:t xml:space="preserve">Figure </w:t>
      </w:r>
      <w:r w:rsidRPr="008E1AE3" w:rsidR="00235294">
        <w:rPr>
          <w:b w:val="0"/>
        </w:rPr>
        <w:fldChar w:fldCharType="begin"/>
      </w:r>
      <w:r w:rsidRPr="008E1AE3" w:rsidR="00235294">
        <w:instrText xml:space="preserve"> SEQ Figure \* ARABIC </w:instrText>
      </w:r>
      <w:r w:rsidRPr="008E1AE3" w:rsidR="00235294">
        <w:rPr>
          <w:b w:val="0"/>
        </w:rPr>
        <w:fldChar w:fldCharType="separate"/>
      </w:r>
      <w:r w:rsidR="00363D25">
        <w:t>4</w:t>
      </w:r>
      <w:r w:rsidRPr="008E1AE3" w:rsidR="00235294">
        <w:rPr>
          <w:b w:val="0"/>
        </w:rPr>
        <w:fldChar w:fldCharType="end"/>
      </w:r>
      <w:bookmarkEnd w:id="161"/>
      <w:r w:rsidRPr="008E1AE3">
        <w:t xml:space="preserve"> </w:t>
      </w:r>
      <w:r w:rsidRPr="008E1AE3" w:rsidR="007A1F3C">
        <w:t xml:space="preserve">Number of </w:t>
      </w:r>
      <w:r w:rsidRPr="008E1AE3" w:rsidR="00E47E52">
        <w:t xml:space="preserve">eligible builders with </w:t>
      </w:r>
      <w:bookmarkStart w:id="162" w:name="_Toc530651479"/>
      <w:bookmarkStart w:id="163" w:name="_Toc530663756"/>
      <w:bookmarkStart w:id="164" w:name="_Toc530672069"/>
      <w:bookmarkStart w:id="165" w:name="_Toc530672511"/>
      <w:bookmarkStart w:id="166" w:name="_Toc530674177"/>
      <w:bookmarkStart w:id="167" w:name="_Toc531180081"/>
      <w:bookmarkStart w:id="168" w:name="_Toc531181920"/>
      <w:bookmarkStart w:id="169" w:name="_Toc2073638"/>
      <w:bookmarkStart w:id="170" w:name="_Toc2083958"/>
      <w:bookmarkStart w:id="171" w:name="_Toc2085880"/>
      <w:r w:rsidRPr="008E1AE3" w:rsidR="00E47E52">
        <w:t>s</w:t>
      </w:r>
      <w:r w:rsidRPr="008E1AE3">
        <w:t>ecurities held by insurer</w:t>
      </w:r>
      <w:bookmarkEnd w:id="162"/>
      <w:bookmarkEnd w:id="163"/>
      <w:bookmarkEnd w:id="164"/>
      <w:bookmarkEnd w:id="165"/>
      <w:bookmarkEnd w:id="166"/>
      <w:bookmarkEnd w:id="167"/>
      <w:bookmarkEnd w:id="168"/>
      <w:bookmarkEnd w:id="169"/>
      <w:bookmarkEnd w:id="170"/>
      <w:bookmarkEnd w:id="171"/>
      <w:r w:rsidRPr="008E1AE3" w:rsidR="00E47E52">
        <w:t xml:space="preserve"> </w:t>
      </w:r>
      <w:r w:rsidRPr="008E1AE3" w:rsidR="00235294">
        <w:t xml:space="preserve">as </w:t>
      </w:r>
      <w:r w:rsidRPr="008E1AE3" w:rsidR="00E47E52">
        <w:t xml:space="preserve">at </w:t>
      </w:r>
      <w:r w:rsidRPr="008E1AE3">
        <w:t>each quarter</w:t>
      </w:r>
    </w:p>
    <w:p w:rsidR="3FB3914D" w:rsidRPr="008E1AE3" w14:paraId="07F6B6D5" w14:textId="26548D89">
      <w:bookmarkStart w:id="172" w:name="_Hlk529787517"/>
      <w:r w:rsidRPr="008E1AE3">
        <w:rPr>
          <w:noProof/>
        </w:rPr>
        <w:drawing>
          <wp:inline distT="0" distB="0" distL="0" distR="0">
            <wp:extent cx="5517515" cy="3645535"/>
            <wp:effectExtent l="0" t="0" r="6985" b="0"/>
            <wp:docPr id="2" name="Picture 2" descr="This chart displays the number of eligible builders with securities held by insurer as at each quarter from June 2015 (2,111) to June 2018 (3,812).&#10;&#10;The number of eligible builders with securities held by insurer has been increasing steadily each year from June 2015 to June 2018&#10;&#10;There has been a 15% increase in the number of eligible builders with security over 2017/18 – increasing from 3,329 as at 30 June 2017 to 3,812 as at 30 June 2018.&#10;" title="Number of eligible builders with securities held by insurers as at each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76860" name="Picture 3"/>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5517515" cy="3645535"/>
                    </a:xfrm>
                    <a:prstGeom prst="rect">
                      <a:avLst/>
                    </a:prstGeom>
                    <a:noFill/>
                  </pic:spPr>
                </pic:pic>
              </a:graphicData>
            </a:graphic>
          </wp:inline>
        </w:drawing>
      </w:r>
      <w:r w:rsidRPr="008E1AE3" w:rsidR="00E1445E">
        <w:tab/>
      </w:r>
      <w:r w:rsidRPr="008E1AE3" w:rsidR="00E1445E">
        <w:tab/>
      </w:r>
      <w:bookmarkEnd w:id="172"/>
    </w:p>
    <w:p w:rsidR="5B6CEF82" w:rsidRPr="008E1AE3" w:rsidP="2E596754" w14:paraId="1B8D2564" w14:textId="1D34515C">
      <w:pPr>
        <w:pStyle w:val="Figures"/>
      </w:pPr>
      <w:bookmarkStart w:id="173" w:name="_Ref3987164"/>
      <w:r w:rsidRPr="008E1AE3">
        <w:t xml:space="preserve">Figure </w:t>
      </w:r>
      <w:r w:rsidRPr="008E1AE3" w:rsidR="00865ACB">
        <w:fldChar w:fldCharType="begin"/>
      </w:r>
      <w:r w:rsidRPr="008E1AE3" w:rsidR="00865ACB">
        <w:instrText xml:space="preserve"> SEQ Figure \* ARABIC </w:instrText>
      </w:r>
      <w:r w:rsidRPr="008E1AE3" w:rsidR="00865ACB">
        <w:fldChar w:fldCharType="separate"/>
      </w:r>
      <w:r w:rsidR="00363D25">
        <w:t>5</w:t>
      </w:r>
      <w:r w:rsidRPr="008E1AE3" w:rsidR="00865ACB">
        <w:fldChar w:fldCharType="end"/>
      </w:r>
      <w:bookmarkEnd w:id="173"/>
      <w:r w:rsidRPr="008E1AE3" w:rsidR="2E596754">
        <w:t xml:space="preserve"> </w:t>
      </w:r>
      <w:r w:rsidRPr="008E1AE3" w:rsidR="618F867C">
        <w:t>Average value</w:t>
      </w:r>
      <w:r w:rsidRPr="008E1AE3" w:rsidR="2E596754">
        <w:t xml:space="preserve"> of security </w:t>
      </w:r>
      <w:r w:rsidRPr="008E1AE3" w:rsidR="618F867C">
        <w:t>($ thousands)</w:t>
      </w:r>
      <w:r w:rsidRPr="008E1AE3" w:rsidR="2E596754">
        <w:t xml:space="preserve"> </w:t>
      </w:r>
      <w:r w:rsidRPr="008E1AE3" w:rsidR="003D1976">
        <w:t>for eligible builder</w:t>
      </w:r>
      <w:r w:rsidRPr="008E1AE3" w:rsidR="00F252DA">
        <w:t>s</w:t>
      </w:r>
      <w:r w:rsidRPr="008E1AE3" w:rsidR="003D1976">
        <w:t xml:space="preserve"> </w:t>
      </w:r>
      <w:r w:rsidRPr="008E1AE3" w:rsidR="2E596754">
        <w:t xml:space="preserve">held by insurer </w:t>
      </w:r>
      <w:r w:rsidRPr="008E1AE3" w:rsidR="00CF14E8">
        <w:t xml:space="preserve">as </w:t>
      </w:r>
      <w:r w:rsidRPr="008E1AE3" w:rsidR="2E596754">
        <w:t>at each quarter</w:t>
      </w:r>
    </w:p>
    <w:p w:rsidR="00266D7C" w:rsidRPr="008E1AE3" w14:paraId="131E550F" w14:textId="403DA8F0">
      <w:pPr>
        <w:spacing w:before="0" w:after="200"/>
        <w:rPr>
          <w:rFonts w:ascii="Clarendon Lt BT" w:hAnsi="Clarendon Lt BT" w:eastAsiaTheme="majorEastAsia" w:cstheme="majorBidi"/>
          <w:bCs/>
          <w:color w:val="000000" w:themeColor="text1"/>
          <w:sz w:val="32"/>
          <w:szCs w:val="26"/>
        </w:rPr>
      </w:pPr>
      <w:bookmarkStart w:id="174" w:name="_Toc518654983"/>
      <w:bookmarkStart w:id="175" w:name="_Toc530651480"/>
      <w:bookmarkStart w:id="176" w:name="_Toc530663757"/>
      <w:bookmarkStart w:id="177" w:name="_Toc530672070"/>
      <w:bookmarkStart w:id="178" w:name="_Toc530672512"/>
      <w:bookmarkStart w:id="179" w:name="_Toc530674178"/>
      <w:bookmarkStart w:id="180" w:name="_Toc531181921"/>
      <w:bookmarkStart w:id="181" w:name="_Toc2073639"/>
      <w:bookmarkStart w:id="182" w:name="_Toc2083959"/>
      <w:bookmarkStart w:id="183" w:name="_Toc2085881"/>
      <w:bookmarkStart w:id="184" w:name="_Toc531180082"/>
      <w:bookmarkEnd w:id="174"/>
      <w:r>
        <w:rPr>
          <w:noProof/>
        </w:rPr>
        <w:drawing>
          <wp:inline distT="0" distB="0" distL="0" distR="0">
            <wp:extent cx="5901690" cy="3670300"/>
            <wp:effectExtent l="0" t="0" r="3810" b="6350"/>
            <wp:docPr id="452709540" name="Picture 452709540" descr="This chart displays the average value of security ($ thousands) for eligible builders held by insurer as at each quarter from June 2015 ($226K) to June 2018 ($241K)&#10;&#10;The average value of security provided by eligible builders has increased by 13% over 2017/18 - increasing from $214K as at 30 June 2017 to $241K at 30 June 2018.&#10;" title="Average value of security ($ thousands) for eligible builders held by insurer as at each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20245" name="Picture 10"/>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5901690" cy="3670300"/>
                    </a:xfrm>
                    <a:prstGeom prst="rect">
                      <a:avLst/>
                    </a:prstGeom>
                    <a:noFill/>
                  </pic:spPr>
                </pic:pic>
              </a:graphicData>
            </a:graphic>
          </wp:inline>
        </w:drawing>
      </w:r>
      <w:r w:rsidRPr="008E1AE3">
        <w:br w:type="page"/>
      </w:r>
    </w:p>
    <w:p w:rsidR="00441733" w:rsidRPr="008E1AE3" w:rsidP="00E41875" w14:paraId="055CD6C3" w14:textId="24A11EA0">
      <w:pPr>
        <w:pStyle w:val="Heading2"/>
      </w:pPr>
      <w:bookmarkStart w:id="185" w:name="_Toc4144933"/>
      <w:bookmarkStart w:id="186" w:name="_Toc4483521"/>
      <w:bookmarkStart w:id="187" w:name="_Toc4485212"/>
      <w:bookmarkStart w:id="188" w:name="_Toc15488351"/>
      <w:r w:rsidRPr="008E1AE3">
        <w:t xml:space="preserve">3. Home </w:t>
      </w:r>
      <w:r w:rsidRPr="008E1AE3" w:rsidR="00256400">
        <w:t>B</w:t>
      </w:r>
      <w:r w:rsidRPr="008E1AE3">
        <w:t xml:space="preserve">uilding </w:t>
      </w:r>
      <w:r w:rsidRPr="008E1AE3" w:rsidR="00256400">
        <w:t>C</w:t>
      </w:r>
      <w:r w:rsidRPr="008E1AE3">
        <w:t xml:space="preserve">ompensation (HBC) certificate of </w:t>
      </w:r>
      <w:r w:rsidR="00160202">
        <w:t>insurance</w:t>
      </w:r>
      <w:r w:rsidRPr="008E1AE3" w:rsidR="00160202">
        <w:t xml:space="preserve"> </w:t>
      </w:r>
      <w:r w:rsidRPr="008E1AE3">
        <w:t>information</w:t>
      </w:r>
      <w:bookmarkEnd w:id="175"/>
      <w:bookmarkEnd w:id="176"/>
      <w:bookmarkEnd w:id="177"/>
      <w:bookmarkEnd w:id="178"/>
      <w:bookmarkEnd w:id="179"/>
      <w:bookmarkEnd w:id="180"/>
      <w:bookmarkEnd w:id="181"/>
      <w:bookmarkEnd w:id="182"/>
      <w:bookmarkEnd w:id="183"/>
      <w:bookmarkEnd w:id="185"/>
      <w:bookmarkEnd w:id="186"/>
      <w:bookmarkEnd w:id="187"/>
      <w:bookmarkEnd w:id="188"/>
      <w:r w:rsidRPr="008E1AE3">
        <w:t xml:space="preserve"> </w:t>
      </w:r>
      <w:bookmarkEnd w:id="184"/>
    </w:p>
    <w:p w:rsidR="00553684" w:rsidRPr="008E1AE3" w:rsidP="007A486A" w14:paraId="08390D0B" w14:textId="77777777">
      <w:pPr>
        <w:shd w:val="clear" w:color="auto" w:fill="DAEEF3" w:themeFill="accent5" w:themeFillTint="33"/>
        <w:rPr>
          <w:b/>
          <w:bCs/>
        </w:rPr>
      </w:pPr>
      <w:r w:rsidRPr="008E1AE3">
        <w:rPr>
          <w:b/>
          <w:bCs/>
        </w:rPr>
        <w:t>Key comments:</w:t>
      </w:r>
    </w:p>
    <w:p w:rsidR="03FF0732" w:rsidRPr="008E1AE3" w:rsidP="00C53DBD" w14:paraId="6B499AEF" w14:textId="59E3F40E">
      <w:pPr>
        <w:pStyle w:val="ListParagraph"/>
        <w:numPr>
          <w:ilvl w:val="0"/>
          <w:numId w:val="17"/>
        </w:numPr>
        <w:shd w:val="clear" w:color="auto" w:fill="DAEEF3" w:themeFill="accent5" w:themeFillTint="33"/>
      </w:pPr>
      <w:r w:rsidRPr="008E1AE3">
        <w:t>The total number of certificates</w:t>
      </w:r>
      <w:r w:rsidR="00DD1FDD">
        <w:t xml:space="preserve"> of </w:t>
      </w:r>
      <w:r w:rsidR="00C67205">
        <w:t>insurance</w:t>
      </w:r>
      <w:r w:rsidRPr="008E1AE3">
        <w:t xml:space="preserve"> issued over 2017/18 </w:t>
      </w:r>
      <w:r w:rsidRPr="008E1AE3" w:rsidR="003308AF">
        <w:t>was 78,440 –</w:t>
      </w:r>
      <w:r w:rsidRPr="008E1AE3" w:rsidR="0072721B">
        <w:t xml:space="preserve"> </w:t>
      </w:r>
      <w:r w:rsidRPr="008E1AE3" w:rsidR="003308AF">
        <w:t xml:space="preserve">a 7% increase from </w:t>
      </w:r>
      <w:r w:rsidRPr="008E1AE3">
        <w:t>2016/17</w:t>
      </w:r>
      <w:r w:rsidRPr="008E1AE3" w:rsidR="0072721B">
        <w:t xml:space="preserve"> levels</w:t>
      </w:r>
      <w:r w:rsidRPr="008E1AE3">
        <w:t>. The</w:t>
      </w:r>
      <w:r w:rsidRPr="008E1AE3" w:rsidR="008D77DE">
        <w:t xml:space="preserve"> </w:t>
      </w:r>
      <w:r w:rsidR="00A870B3">
        <w:t>r</w:t>
      </w:r>
      <w:r w:rsidRPr="008E1AE3" w:rsidR="008D77DE">
        <w:t>enovations construction type has experienced the</w:t>
      </w:r>
      <w:r w:rsidRPr="008E1AE3">
        <w:t xml:space="preserve"> largest growth </w:t>
      </w:r>
      <w:r w:rsidRPr="008E1AE3" w:rsidR="003308AF">
        <w:t>in the numb</w:t>
      </w:r>
      <w:r w:rsidRPr="008E1AE3" w:rsidR="008D77DE">
        <w:t xml:space="preserve">er of certificates </w:t>
      </w:r>
      <w:r w:rsidR="00C67205">
        <w:t>of insurance</w:t>
      </w:r>
      <w:r w:rsidRPr="008E1AE3" w:rsidR="00C67205">
        <w:t xml:space="preserve"> </w:t>
      </w:r>
      <w:r w:rsidR="00C67205">
        <w:t xml:space="preserve">issued </w:t>
      </w:r>
      <w:r w:rsidRPr="008E1AE3" w:rsidR="008D77DE">
        <w:t>over 2017/18.</w:t>
      </w:r>
    </w:p>
    <w:p w:rsidR="03FF0732" w:rsidRPr="008E1AE3" w:rsidP="00C53DBD" w14:paraId="4E5DDE80" w14:textId="14E4FC56">
      <w:pPr>
        <w:pStyle w:val="ListParagraph"/>
        <w:numPr>
          <w:ilvl w:val="0"/>
          <w:numId w:val="17"/>
        </w:numPr>
        <w:shd w:val="clear" w:color="auto" w:fill="DAEEF3" w:themeFill="accent5" w:themeFillTint="33"/>
      </w:pPr>
      <w:r w:rsidRPr="008E1AE3">
        <w:t xml:space="preserve">Over 2017/18, average contract value </w:t>
      </w:r>
      <w:r w:rsidR="00744B79">
        <w:t xml:space="preserve">of </w:t>
      </w:r>
      <w:r w:rsidRPr="008E1AE3" w:rsidR="00744B79">
        <w:t>certificate</w:t>
      </w:r>
      <w:r w:rsidR="00362F5D">
        <w:t>s</w:t>
      </w:r>
      <w:r w:rsidR="00744B79">
        <w:t xml:space="preserve"> of insurance</w:t>
      </w:r>
      <w:r w:rsidRPr="008E1AE3" w:rsidR="00744B79">
        <w:t xml:space="preserve"> </w:t>
      </w:r>
      <w:r w:rsidRPr="008E1AE3">
        <w:t>increased by 3%</w:t>
      </w:r>
      <w:r w:rsidRPr="008E1AE3" w:rsidR="00897E6A">
        <w:t xml:space="preserve"> </w:t>
      </w:r>
      <w:r w:rsidRPr="008E1AE3" w:rsidR="008D77DE">
        <w:t>for new single dwelling,</w:t>
      </w:r>
      <w:r w:rsidRPr="008E1AE3" w:rsidR="00897E6A">
        <w:t xml:space="preserve"> the largest construction type as measured by the number of certificates </w:t>
      </w:r>
      <w:r w:rsidR="00362F5D">
        <w:t>of insurance</w:t>
      </w:r>
      <w:r w:rsidRPr="008E1AE3" w:rsidR="00362F5D">
        <w:t xml:space="preserve"> </w:t>
      </w:r>
      <w:r w:rsidRPr="008E1AE3" w:rsidR="00897E6A">
        <w:t>issued</w:t>
      </w:r>
      <w:r w:rsidRPr="008E1AE3" w:rsidR="00F2383F">
        <w:t xml:space="preserve"> and total premium received</w:t>
      </w:r>
      <w:r w:rsidRPr="008E1AE3" w:rsidR="00897E6A">
        <w:t xml:space="preserve">. </w:t>
      </w:r>
    </w:p>
    <w:p w:rsidR="00474836" w:rsidRPr="008E1AE3" w:rsidP="00C53DBD" w14:paraId="228BCFD1" w14:textId="267758B7">
      <w:pPr>
        <w:pStyle w:val="ListParagraph"/>
        <w:numPr>
          <w:ilvl w:val="0"/>
          <w:numId w:val="17"/>
        </w:numPr>
        <w:shd w:val="clear" w:color="auto" w:fill="DAEEF3" w:themeFill="accent5" w:themeFillTint="33"/>
      </w:pPr>
      <w:r w:rsidRPr="008E1AE3">
        <w:t xml:space="preserve">The total contract value for certificates </w:t>
      </w:r>
      <w:r w:rsidR="00362F5D">
        <w:t>of insurance</w:t>
      </w:r>
      <w:r w:rsidRPr="008E1AE3" w:rsidR="00362F5D">
        <w:t xml:space="preserve"> </w:t>
      </w:r>
      <w:r w:rsidRPr="008E1AE3">
        <w:t>issued over 2017/18 was $1</w:t>
      </w:r>
      <w:r w:rsidRPr="008E1AE3">
        <w:t>7.9</w:t>
      </w:r>
      <w:r w:rsidRPr="008E1AE3">
        <w:t xml:space="preserve"> billion – this reflects </w:t>
      </w:r>
      <w:r w:rsidRPr="008E1AE3">
        <w:t>an</w:t>
      </w:r>
      <w:r w:rsidRPr="008E1AE3">
        <w:t xml:space="preserve"> 8% increase from the $16</w:t>
      </w:r>
      <w:r w:rsidRPr="008E1AE3">
        <w:t>.5</w:t>
      </w:r>
      <w:r w:rsidRPr="008E1AE3">
        <w:t xml:space="preserve"> billion contract value for certificates</w:t>
      </w:r>
      <w:r w:rsidR="00362F5D">
        <w:t xml:space="preserve"> </w:t>
      </w:r>
      <w:r w:rsidR="00744B79">
        <w:t>of insurance</w:t>
      </w:r>
      <w:r w:rsidRPr="008E1AE3">
        <w:t xml:space="preserve"> issued over 2016/17. </w:t>
      </w:r>
    </w:p>
    <w:p w:rsidR="00767569" w:rsidRPr="008E1AE3" w:rsidP="00C53DBD" w14:paraId="45DAEE9B" w14:textId="131BA108">
      <w:pPr>
        <w:pStyle w:val="ListParagraph"/>
        <w:numPr>
          <w:ilvl w:val="0"/>
          <w:numId w:val="17"/>
        </w:numPr>
        <w:shd w:val="clear" w:color="auto" w:fill="DAEEF3" w:themeFill="accent5" w:themeFillTint="33"/>
      </w:pPr>
      <w:r w:rsidRPr="008E1AE3">
        <w:t>Total contract value for certificates</w:t>
      </w:r>
      <w:r w:rsidR="00362F5D">
        <w:t xml:space="preserve"> </w:t>
      </w:r>
      <w:r w:rsidR="00744B79">
        <w:t>of insurance</w:t>
      </w:r>
      <w:r w:rsidRPr="008E1AE3">
        <w:t xml:space="preserve"> issued in the June 2018 quarter has increased by 19% compared to the June 2017 quarter.</w:t>
      </w:r>
    </w:p>
    <w:p w:rsidR="03FF0732" w:rsidRPr="008E1AE3" w:rsidP="00C53DBD" w14:paraId="46271290" w14:textId="28B321F8">
      <w:pPr>
        <w:pStyle w:val="ListParagraph"/>
        <w:numPr>
          <w:ilvl w:val="0"/>
          <w:numId w:val="17"/>
        </w:numPr>
        <w:shd w:val="clear" w:color="auto" w:fill="DAEEF3" w:themeFill="accent5" w:themeFillTint="33"/>
      </w:pPr>
      <w:r w:rsidRPr="008E1AE3">
        <w:t xml:space="preserve">The total value </w:t>
      </w:r>
      <w:r w:rsidR="00C67205">
        <w:t xml:space="preserve">of contracts for building work </w:t>
      </w:r>
      <w:r w:rsidRPr="008E1AE3">
        <w:t xml:space="preserve">recorded on certificates </w:t>
      </w:r>
      <w:r w:rsidR="007D388C">
        <w:t>of insurance</w:t>
      </w:r>
      <w:r w:rsidRPr="008E1AE3" w:rsidR="007D388C">
        <w:t xml:space="preserve"> </w:t>
      </w:r>
      <w:r w:rsidRPr="008E1AE3">
        <w:t>issued for new single and multiple dwellings of three storeys or less closely follows the value recorded in ABS building approvals data</w:t>
      </w:r>
      <w:r w:rsidR="009C09BB">
        <w:t xml:space="preserve"> for NSW</w:t>
      </w:r>
      <w:r w:rsidRPr="008E1AE3">
        <w:t>.</w:t>
      </w:r>
    </w:p>
    <w:p w:rsidR="00441733" w:rsidRPr="008E1AE3" w:rsidP="00E41875" w14:paraId="1B29C384" w14:textId="52E6B25D">
      <w:pPr>
        <w:pStyle w:val="Heading3"/>
      </w:pPr>
      <w:bookmarkStart w:id="189" w:name="_Toc530651481"/>
      <w:bookmarkStart w:id="190" w:name="_Toc530663758"/>
      <w:bookmarkStart w:id="191" w:name="_Toc530672071"/>
      <w:bookmarkStart w:id="192" w:name="_Toc530672513"/>
      <w:bookmarkStart w:id="193" w:name="_Toc530674179"/>
      <w:bookmarkStart w:id="194" w:name="_Toc531180083"/>
      <w:bookmarkStart w:id="195" w:name="_Toc531181922"/>
      <w:bookmarkStart w:id="196" w:name="_Toc2073640"/>
      <w:bookmarkStart w:id="197" w:name="_Toc2083960"/>
      <w:bookmarkStart w:id="198" w:name="_Toc2085882"/>
      <w:bookmarkStart w:id="199" w:name="_Toc4144934"/>
      <w:bookmarkStart w:id="200" w:name="_Toc4483522"/>
      <w:bookmarkStart w:id="201" w:name="_Toc4485213"/>
      <w:bookmarkStart w:id="202" w:name="_Toc15488352"/>
      <w:r w:rsidRPr="008E1AE3">
        <w:t xml:space="preserve">New certificate </w:t>
      </w:r>
      <w:r w:rsidRPr="008E1AE3" w:rsidR="005D196A">
        <w:t>o</w:t>
      </w:r>
      <w:r w:rsidRPr="008E1AE3" w:rsidR="00603A27">
        <w:t xml:space="preserve">f </w:t>
      </w:r>
      <w:r w:rsidR="00744B79">
        <w:t>insurance</w:t>
      </w:r>
      <w:r w:rsidRPr="008E1AE3" w:rsidR="00744B79">
        <w:t xml:space="preserve"> </w:t>
      </w:r>
      <w:r w:rsidRPr="008E1AE3">
        <w:t>issued to builders</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rsidR="00441733" w:rsidRPr="008E1AE3" w:rsidP="3303202C" w14:paraId="6FA7C3B7" w14:textId="168A460A">
      <w:r w:rsidRPr="008E1AE3">
        <w:fldChar w:fldCharType="begin"/>
      </w:r>
      <w:r w:rsidRPr="008E1AE3">
        <w:instrText xml:space="preserve"> REF _Ref531262780 \h </w:instrText>
      </w:r>
      <w:r w:rsidRPr="008E1AE3">
        <w:fldChar w:fldCharType="separate"/>
      </w:r>
      <w:r w:rsidRPr="008E1AE3" w:rsidR="00363D25">
        <w:t xml:space="preserve">Figure </w:t>
      </w:r>
      <w:r w:rsidR="00363D25">
        <w:rPr>
          <w:noProof/>
        </w:rPr>
        <w:t>6</w:t>
      </w:r>
      <w:r w:rsidRPr="008E1AE3">
        <w:fldChar w:fldCharType="end"/>
      </w:r>
      <w:r w:rsidRPr="008E1AE3">
        <w:t xml:space="preserve"> </w:t>
      </w:r>
      <w:r w:rsidRPr="008E1AE3">
        <w:t>show</w:t>
      </w:r>
      <w:r w:rsidRPr="008E1AE3" w:rsidR="0065545E">
        <w:t>s</w:t>
      </w:r>
      <w:r w:rsidRPr="008E1AE3">
        <w:t xml:space="preserve"> the number of new certificates</w:t>
      </w:r>
      <w:r w:rsidR="007A79C1">
        <w:t xml:space="preserve"> </w:t>
      </w:r>
      <w:r w:rsidR="00744B79">
        <w:t>of insurance</w:t>
      </w:r>
      <w:r w:rsidRPr="008E1AE3" w:rsidR="007205AF">
        <w:t xml:space="preserve"> issued by construction type and year. C</w:t>
      </w:r>
      <w:r w:rsidRPr="008E1AE3" w:rsidR="00474211">
        <w:t>ancelled certificates</w:t>
      </w:r>
      <w:r w:rsidRPr="008E1AE3" w:rsidR="007205AF">
        <w:t xml:space="preserve"> have been excluded from these figures. </w:t>
      </w:r>
    </w:p>
    <w:p w:rsidR="0065545E" w:rsidRPr="008E1AE3" w:rsidP="3303202C" w14:paraId="35EFF574" w14:textId="0EC798D2">
      <w:r w:rsidRPr="008E1AE3">
        <w:t>Figure 7</w:t>
      </w:r>
      <w:r w:rsidRPr="008E1AE3" w:rsidR="00B4463D">
        <w:t xml:space="preserve"> </w:t>
      </w:r>
      <w:r w:rsidRPr="008E1AE3">
        <w:t xml:space="preserve">displays the average </w:t>
      </w:r>
      <w:r w:rsidR="00744B79">
        <w:t xml:space="preserve">building </w:t>
      </w:r>
      <w:r w:rsidRPr="008E1AE3">
        <w:t xml:space="preserve">contract value </w:t>
      </w:r>
      <w:r w:rsidR="007D388C">
        <w:t xml:space="preserve">covered by </w:t>
      </w:r>
      <w:r w:rsidRPr="008E1AE3">
        <w:t>certificate</w:t>
      </w:r>
      <w:r w:rsidR="00EC1EE1">
        <w:t>s</w:t>
      </w:r>
      <w:r w:rsidR="00744B79">
        <w:t xml:space="preserve"> </w:t>
      </w:r>
      <w:bookmarkStart w:id="203" w:name="_Hlk6390089"/>
      <w:r w:rsidR="00744B79">
        <w:t>of insurance</w:t>
      </w:r>
      <w:r w:rsidRPr="008E1AE3">
        <w:t xml:space="preserve"> </w:t>
      </w:r>
      <w:bookmarkEnd w:id="203"/>
      <w:r w:rsidRPr="008E1AE3">
        <w:t xml:space="preserve">by construction type and year. </w:t>
      </w:r>
    </w:p>
    <w:p w:rsidR="0065545E" w:rsidRPr="008E1AE3" w:rsidP="3303202C" w14:paraId="3E7BDCDC" w14:textId="09A713E2">
      <w:r w:rsidRPr="008E1AE3">
        <w:fldChar w:fldCharType="begin"/>
      </w:r>
      <w:r w:rsidRPr="008E1AE3">
        <w:instrText xml:space="preserve"> REF _Ref2081560 \h </w:instrText>
      </w:r>
      <w:r w:rsidRPr="008E1AE3" w:rsidR="00722C28">
        <w:instrText xml:space="preserve"> \* MERGEFORMAT </w:instrText>
      </w:r>
      <w:r w:rsidRPr="008E1AE3">
        <w:fldChar w:fldCharType="separate"/>
      </w:r>
      <w:r w:rsidRPr="00363D25" w:rsidR="00363D25">
        <w:t>Figure 8</w:t>
      </w:r>
      <w:r w:rsidRPr="008E1AE3">
        <w:fldChar w:fldCharType="end"/>
      </w:r>
      <w:r w:rsidRPr="008E1AE3">
        <w:t xml:space="preserve"> </w:t>
      </w:r>
      <w:r w:rsidRPr="008E1AE3">
        <w:t xml:space="preserve">displays the total </w:t>
      </w:r>
      <w:r w:rsidR="00744B79">
        <w:t xml:space="preserve">building </w:t>
      </w:r>
      <w:r w:rsidRPr="008E1AE3">
        <w:t xml:space="preserve">contract value </w:t>
      </w:r>
      <w:r w:rsidR="00744B79">
        <w:t xml:space="preserve">covered by </w:t>
      </w:r>
      <w:r w:rsidRPr="008E1AE3">
        <w:t>certificate</w:t>
      </w:r>
      <w:r w:rsidR="00EC1EE1">
        <w:t>s</w:t>
      </w:r>
      <w:r w:rsidR="00744B79">
        <w:t xml:space="preserve"> of insurance </w:t>
      </w:r>
      <w:r w:rsidRPr="008E1AE3">
        <w:t xml:space="preserve">by construction type and year. </w:t>
      </w:r>
    </w:p>
    <w:p w:rsidR="00441733" w:rsidRPr="008E1AE3" w14:paraId="785D070C" w14:textId="3F7440B5">
      <w:pPr>
        <w:pStyle w:val="Figures"/>
      </w:pPr>
      <w:bookmarkStart w:id="204" w:name="_Ref531262780"/>
      <w:bookmarkStart w:id="205" w:name="_Ref3992552"/>
      <w:r w:rsidRPr="008E1AE3">
        <w:t xml:space="preserve">Figure </w:t>
      </w:r>
      <w:r w:rsidRPr="008E1AE3" w:rsidR="0028341A">
        <w:fldChar w:fldCharType="begin"/>
      </w:r>
      <w:r w:rsidRPr="008E1AE3" w:rsidR="0028341A">
        <w:instrText xml:space="preserve"> SEQ Figure \* ARABIC </w:instrText>
      </w:r>
      <w:r w:rsidRPr="008E1AE3" w:rsidR="0028341A">
        <w:fldChar w:fldCharType="separate"/>
      </w:r>
      <w:r w:rsidR="00363D25">
        <w:t>6</w:t>
      </w:r>
      <w:r w:rsidRPr="008E1AE3" w:rsidR="0028341A">
        <w:fldChar w:fldCharType="end"/>
      </w:r>
      <w:bookmarkEnd w:id="204"/>
      <w:bookmarkEnd w:id="205"/>
      <w:r w:rsidR="00B7769C">
        <w:t>:</w:t>
      </w:r>
      <w:r w:rsidRPr="008E1AE3">
        <w:t xml:space="preserve"> </w:t>
      </w:r>
      <w:r w:rsidRPr="008E1AE3">
        <w:t xml:space="preserve">Number of certificates </w:t>
      </w:r>
      <w:r w:rsidR="00744B79">
        <w:t>of insurance</w:t>
      </w:r>
      <w:r w:rsidRPr="008E1AE3" w:rsidR="00744B79">
        <w:t xml:space="preserve"> </w:t>
      </w:r>
      <w:r w:rsidRPr="008E1AE3">
        <w:t xml:space="preserve">by </w:t>
      </w:r>
      <w:r w:rsidRPr="008E1AE3" w:rsidR="007205AF">
        <w:t>issue year and construct</w:t>
      </w:r>
      <w:r w:rsidRPr="008E1AE3" w:rsidR="008D32CD">
        <w:t>i</w:t>
      </w:r>
      <w:r w:rsidRPr="008E1AE3" w:rsidR="007205AF">
        <w:t>on type</w:t>
      </w:r>
      <w:r w:rsidRPr="008E1AE3" w:rsidR="00832BBA">
        <w:t xml:space="preserve"> </w:t>
      </w:r>
      <w:r>
        <w:rPr>
          <w:rStyle w:val="FootnoteReference"/>
        </w:rPr>
        <w:footnoteReference w:id="3"/>
      </w:r>
      <w:r w:rsidRPr="008E1AE3" w:rsidR="007205AF">
        <w:rPr>
          <w:b w:val="0"/>
        </w:rPr>
        <w:t xml:space="preserve"> </w:t>
      </w:r>
      <w:r>
        <w:rPr>
          <w:rStyle w:val="FootnoteReference"/>
        </w:rPr>
        <w:footnoteReference w:id="4"/>
      </w:r>
      <w:r w:rsidRPr="008E1AE3" w:rsidR="0002613A">
        <w:t xml:space="preserve"> </w:t>
      </w:r>
      <w:r>
        <w:rPr>
          <w:rStyle w:val="FootnoteReference"/>
        </w:rPr>
        <w:footnoteReference w:id="5"/>
      </w:r>
      <w:r w:rsidRPr="008E1AE3" w:rsidR="00251403">
        <w:rPr>
          <w:b w:val="0"/>
        </w:rPr>
        <w:t xml:space="preserve"> </w:t>
      </w:r>
      <w:r w:rsidRPr="008E1AE3">
        <w:t xml:space="preserve"> </w:t>
      </w:r>
    </w:p>
    <w:p w:rsidR="00441733" w:rsidP="0A6139A6" w14:paraId="23E44B33" w14:textId="34DB99AB">
      <w:pPr>
        <w:spacing w:before="60" w:after="60"/>
        <w:rPr>
          <w:noProof/>
          <w:sz w:val="18"/>
          <w:szCs w:val="18"/>
        </w:rPr>
      </w:pPr>
      <w:r>
        <w:rPr>
          <w:noProof/>
          <w:sz w:val="18"/>
          <w:szCs w:val="18"/>
        </w:rPr>
        <w:drawing>
          <wp:inline distT="0" distB="0" distL="0" distR="0">
            <wp:extent cx="6108700" cy="3694430"/>
            <wp:effectExtent l="0" t="0" r="6350" b="1270"/>
            <wp:docPr id="452709547" name="Picture 452709547" descr="This chart shows total number of certificates of insurance issued for each construction type from year 2011/12 to 2017/18. &#10;&#10;The total number of certificates of insurance issued over 2017/18 was 78,440 – a 7% increase from 2016/17 levels.&#10;&#10;‘New single dwelling’ was the construction type with the highest number of certificates issued in all years since 2011/12 to-date, and in 2017/18 accounted for (25,574) or 33% all certificates issued in that year. &#10;&#10;The number of certificates issued for ‘new multiple dwellings’ decreased, and ‘New duplex, triplex’ increased, in 2015/16. This is because ‘New duplex, triplex’ was reported under its own separate category, instead of under ‘new multiple dwellings’, in 2015/16.&#10;" title="Number of certificates of insurance by issued year and construction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170313" name="Picture 11"/>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6108700" cy="3694430"/>
                    </a:xfrm>
                    <a:prstGeom prst="rect">
                      <a:avLst/>
                    </a:prstGeom>
                    <a:noFill/>
                  </pic:spPr>
                </pic:pic>
              </a:graphicData>
            </a:graphic>
          </wp:inline>
        </w:drawing>
      </w:r>
    </w:p>
    <w:p w:rsidR="003B0B90" w:rsidRPr="008E1AE3" w:rsidP="0A6139A6" w14:paraId="67A30F2F" w14:textId="77777777">
      <w:pPr>
        <w:spacing w:before="60" w:after="60"/>
        <w:rPr>
          <w:noProof/>
          <w:sz w:val="18"/>
          <w:szCs w:val="18"/>
        </w:rPr>
      </w:pPr>
    </w:p>
    <w:p w:rsidR="0065545E" w:rsidRPr="008E1AE3" w:rsidP="0065545E" w14:paraId="57F452AB" w14:textId="01261BEF">
      <w:pPr>
        <w:pStyle w:val="Figures"/>
        <w:rPr>
          <w:lang w:eastAsia="zh-CN"/>
        </w:rPr>
      </w:pPr>
      <w:bookmarkStart w:id="206" w:name="_Ref3298672"/>
      <w:bookmarkStart w:id="207" w:name="_Ref3298668"/>
      <w:bookmarkStart w:id="208" w:name="_Hlk8118493"/>
      <w:r w:rsidRPr="008E1AE3">
        <w:t xml:space="preserve">Figure </w:t>
      </w:r>
      <w:r w:rsidRPr="008E1AE3">
        <w:fldChar w:fldCharType="begin"/>
      </w:r>
      <w:r w:rsidRPr="008E1AE3">
        <w:instrText xml:space="preserve"> SEQ Figure \* ARABIC </w:instrText>
      </w:r>
      <w:r w:rsidRPr="008E1AE3">
        <w:fldChar w:fldCharType="separate"/>
      </w:r>
      <w:r w:rsidR="00363D25">
        <w:t>7</w:t>
      </w:r>
      <w:r w:rsidRPr="008E1AE3">
        <w:fldChar w:fldCharType="end"/>
      </w:r>
      <w:r w:rsidRPr="008E1AE3">
        <w:t xml:space="preserve">: </w:t>
      </w:r>
      <w:bookmarkEnd w:id="206"/>
      <w:r w:rsidRPr="008E1AE3">
        <w:t xml:space="preserve">Average </w:t>
      </w:r>
      <w:r w:rsidR="002F0713">
        <w:t xml:space="preserve">building </w:t>
      </w:r>
      <w:r w:rsidRPr="008E1AE3">
        <w:t xml:space="preserve">contract value ($ thousands) </w:t>
      </w:r>
      <w:r w:rsidR="003710C5">
        <w:t xml:space="preserve">per dwelling </w:t>
      </w:r>
      <w:r w:rsidRPr="008E1AE3">
        <w:t xml:space="preserve">over time by </w:t>
      </w:r>
      <w:bookmarkEnd w:id="207"/>
      <w:r w:rsidRPr="008E1AE3" w:rsidR="00645A8D">
        <w:t>construction type</w:t>
      </w:r>
    </w:p>
    <w:p w:rsidR="0065545E" w:rsidRPr="008E1AE3" w:rsidP="006307F2" w14:paraId="5314436F" w14:textId="2EBB3AEB">
      <w:pPr>
        <w:spacing w:after="480"/>
      </w:pPr>
      <w:bookmarkEnd w:id="208"/>
      <w:r w:rsidRPr="008E1AE3">
        <w:rPr>
          <w:noProof/>
        </w:rPr>
        <w:drawing>
          <wp:inline distT="0" distB="0" distL="0" distR="0">
            <wp:extent cx="6090284" cy="3822700"/>
            <wp:effectExtent l="0" t="0" r="5715" b="6350"/>
            <wp:docPr id="386401009" name="Picture 386401009" descr="This chart shows Average building contract value per dwelling of certificates of insurance issued for each construction type from year 2011/12 to 2017/18.&#10;&#10;Over 2017/18, average contract value increased by 3% for new single dwelling, the largest construction type as measured by the number of certificates issued and total premium received.&#10;&#10;Average contract value for construction types ‘New single dwelling’, ‘New Multiple dwelling’ and ‘New duplex, triplex’ has noticeably increased from 2015/16. &#10;Average contract value for construction types ‘Alterations’, ‘Swimming pools and others’ and ‘Renovations’ do not have any noticeable increase.  &#10;" title="Average building contract value ($ thousands) per dwelling over time by construction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476245" name=""/>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6090284" cy="3822700"/>
                    </a:xfrm>
                    <a:prstGeom prst="rect">
                      <a:avLst/>
                    </a:prstGeom>
                  </pic:spPr>
                </pic:pic>
              </a:graphicData>
            </a:graphic>
          </wp:inline>
        </w:drawing>
      </w:r>
    </w:p>
    <w:p w:rsidR="00220DC1" w:rsidRPr="008E1AE3" w:rsidP="008D32CD" w14:paraId="5CFAEF09" w14:textId="3CBB56F8">
      <w:bookmarkStart w:id="209" w:name="_Ref2081560"/>
      <w:r w:rsidRPr="008E1AE3">
        <w:rPr>
          <w:b/>
          <w:bCs/>
        </w:rPr>
        <w:t xml:space="preserve">Figure </w:t>
      </w:r>
      <w:r w:rsidRPr="008E1AE3" w:rsidR="0028341A">
        <w:fldChar w:fldCharType="begin"/>
      </w:r>
      <w:r w:rsidRPr="008E1AE3" w:rsidR="0028341A">
        <w:rPr>
          <w:b/>
        </w:rPr>
        <w:instrText xml:space="preserve"> SEQ Figure \* ARABIC </w:instrText>
      </w:r>
      <w:r w:rsidRPr="008E1AE3" w:rsidR="0028341A">
        <w:rPr>
          <w:b/>
        </w:rPr>
        <w:fldChar w:fldCharType="separate"/>
      </w:r>
      <w:r w:rsidR="00363D25">
        <w:rPr>
          <w:b/>
          <w:noProof/>
        </w:rPr>
        <w:t>8</w:t>
      </w:r>
      <w:r w:rsidRPr="008E1AE3" w:rsidR="0028341A">
        <w:fldChar w:fldCharType="end"/>
      </w:r>
      <w:bookmarkEnd w:id="209"/>
      <w:r w:rsidRPr="008E1AE3">
        <w:rPr>
          <w:b/>
          <w:bCs/>
        </w:rPr>
        <w:t xml:space="preserve">: Total </w:t>
      </w:r>
      <w:r w:rsidR="002F0713">
        <w:rPr>
          <w:b/>
          <w:bCs/>
        </w:rPr>
        <w:t xml:space="preserve">building </w:t>
      </w:r>
      <w:r w:rsidRPr="008E1AE3">
        <w:rPr>
          <w:b/>
          <w:bCs/>
        </w:rPr>
        <w:t xml:space="preserve">contract value ($ billions) over time by </w:t>
      </w:r>
      <w:r w:rsidRPr="008E1AE3" w:rsidR="008D32CD">
        <w:rPr>
          <w:b/>
          <w:bCs/>
        </w:rPr>
        <w:t>c</w:t>
      </w:r>
      <w:r w:rsidRPr="008E1AE3" w:rsidR="007969F9">
        <w:rPr>
          <w:b/>
          <w:bCs/>
        </w:rPr>
        <w:t>onstruction type</w:t>
      </w:r>
      <w:r w:rsidRPr="008E1AE3" w:rsidR="00331431">
        <w:rPr>
          <w:b/>
          <w:bCs/>
        </w:rPr>
        <w:t xml:space="preserve"> </w:t>
      </w:r>
    </w:p>
    <w:p w:rsidR="00F9733E" w:rsidRPr="008E1AE3" w:rsidP="00441733" w14:paraId="357DAA41" w14:textId="71938AF3">
      <w:pPr>
        <w:spacing w:after="200"/>
        <w:rPr>
          <w:noProof/>
          <w:sz w:val="18"/>
          <w:szCs w:val="18"/>
          <w:lang w:eastAsia="zh-CN"/>
        </w:rPr>
      </w:pPr>
      <w:r w:rsidRPr="008E1AE3">
        <w:rPr>
          <w:noProof/>
        </w:rPr>
        <w:drawing>
          <wp:inline distT="0" distB="0" distL="0" distR="0">
            <wp:extent cx="6108700" cy="3822700"/>
            <wp:effectExtent l="0" t="0" r="6350" b="6350"/>
            <wp:docPr id="476225108" name="Picture 476225108" descr="This chart shows Total building contract value of certificates of insurance issued for each construction type from year 2011/12 to 2017/18. &#10;&#10;The trend of Total building contract value closely follows that of the upward trend in Total number of certificates. &#10;&#10;The total contract value for certificates issued over 2017/18 was $17.9 billion – this reflects an 8% increase from the $16.5 billion contract value for certificates issued over 2016/17.&#10;&#10;New single dwelling’ tops the list with largest sum of contract value, $10 billion in 2017/18 that is 57% Total contract value of HBC in that year, followed by ‘Alterations’, ‘New multiple dwelling’s and ‘New duplex, triplex’. &#10;" title="Total building contract value ($ billions) over time by construction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597840" name=""/>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6108700" cy="3822700"/>
                    </a:xfrm>
                    <a:prstGeom prst="rect">
                      <a:avLst/>
                    </a:prstGeom>
                  </pic:spPr>
                </pic:pic>
              </a:graphicData>
            </a:graphic>
          </wp:inline>
        </w:drawing>
      </w:r>
    </w:p>
    <w:p w:rsidR="004A6998" w:rsidRPr="008E1AE3" w:rsidP="004A6998" w14:paraId="58EEFBB2" w14:textId="0C4B4955">
      <w:pPr>
        <w:pStyle w:val="Heading3"/>
      </w:pPr>
      <w:bookmarkStart w:id="210" w:name="_Toc530651483"/>
      <w:bookmarkStart w:id="211" w:name="_Toc530663760"/>
      <w:bookmarkStart w:id="212" w:name="_Toc530672073"/>
      <w:bookmarkStart w:id="213" w:name="_Toc530672515"/>
      <w:bookmarkStart w:id="214" w:name="_Toc530674181"/>
      <w:bookmarkStart w:id="215" w:name="_Toc531180085"/>
      <w:bookmarkStart w:id="216" w:name="_Toc531181924"/>
      <w:bookmarkStart w:id="217" w:name="_Toc2073642"/>
      <w:bookmarkStart w:id="218" w:name="_Toc2083962"/>
      <w:bookmarkStart w:id="219" w:name="_Toc2085884"/>
      <w:bookmarkStart w:id="220" w:name="_Toc4144935"/>
      <w:bookmarkStart w:id="221" w:name="_Toc4483523"/>
      <w:bookmarkStart w:id="222" w:name="_Toc4485214"/>
      <w:bookmarkStart w:id="223" w:name="_Toc15488353"/>
      <w:r w:rsidRPr="008E1AE3">
        <w:t xml:space="preserve">Comparing </w:t>
      </w:r>
      <w:r w:rsidRPr="008E1AE3" w:rsidR="00D064C8">
        <w:t xml:space="preserve">ABS </w:t>
      </w:r>
      <w:r w:rsidRPr="008E1AE3" w:rsidR="000E794B">
        <w:t>b</w:t>
      </w:r>
      <w:r w:rsidRPr="008E1AE3">
        <w:t>uilding approvals</w:t>
      </w:r>
      <w:r w:rsidRPr="008E1AE3" w:rsidR="000E43D1">
        <w:t xml:space="preserve"> for NSW </w:t>
      </w:r>
      <w:r w:rsidRPr="008E1AE3" w:rsidR="001D7680">
        <w:t>with</w:t>
      </w:r>
      <w:r w:rsidRPr="008E1AE3">
        <w:t xml:space="preserve"> new certificate</w:t>
      </w:r>
      <w:r w:rsidR="00AD5843">
        <w:t>s</w:t>
      </w:r>
      <w:r w:rsidRPr="008E1AE3" w:rsidR="00D064C8">
        <w:t xml:space="preserve"> </w:t>
      </w:r>
      <w:r w:rsidRPr="002F0713" w:rsidR="002F0713">
        <w:t xml:space="preserve">of insurance </w:t>
      </w:r>
      <w:r w:rsidRPr="008E1AE3">
        <w:t>issued</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rsidR="006E3945" w:rsidRPr="008E1AE3" w:rsidP="00CF7A55" w14:paraId="275E3AFA" w14:textId="40BD3C29">
      <w:pPr>
        <w:tabs>
          <w:tab w:val="left" w:pos="3384"/>
        </w:tabs>
      </w:pPr>
      <w:r w:rsidRPr="008E1AE3">
        <w:fldChar w:fldCharType="begin"/>
      </w:r>
      <w:r w:rsidRPr="008E1AE3">
        <w:instrText xml:space="preserve"> REF _Ref3299660 \h </w:instrText>
      </w:r>
      <w:r w:rsidRPr="008E1AE3">
        <w:fldChar w:fldCharType="separate"/>
      </w:r>
      <w:r w:rsidRPr="008E1AE3" w:rsidR="00363D25">
        <w:t xml:space="preserve">Figure </w:t>
      </w:r>
      <w:r w:rsidR="00363D25">
        <w:rPr>
          <w:noProof/>
        </w:rPr>
        <w:t>9</w:t>
      </w:r>
      <w:r w:rsidRPr="008E1AE3">
        <w:fldChar w:fldCharType="end"/>
      </w:r>
      <w:r w:rsidRPr="008E1AE3">
        <w:t xml:space="preserve"> displays the number of certificates of </w:t>
      </w:r>
      <w:r w:rsidR="002F0713">
        <w:t>insurance</w:t>
      </w:r>
      <w:r w:rsidRPr="008E1AE3" w:rsidR="002F0713">
        <w:t xml:space="preserve"> </w:t>
      </w:r>
      <w:r w:rsidRPr="008E1AE3">
        <w:t xml:space="preserve">issued for new single and new multiple dwellings of three storeys or less with Australian Bureau of Statistics (ABS) </w:t>
      </w:r>
      <w:r w:rsidRPr="008E1AE3" w:rsidR="000E43D1">
        <w:t xml:space="preserve">NSW </w:t>
      </w:r>
      <w:r w:rsidRPr="008E1AE3">
        <w:t>building approvals data.</w:t>
      </w:r>
    </w:p>
    <w:p w:rsidR="006E3945" w:rsidRPr="008E1AE3" w:rsidP="531F3458" w14:paraId="27A96ECC" w14:textId="0BDBCB91">
      <w:pPr>
        <w:tabs>
          <w:tab w:val="left" w:pos="3384"/>
        </w:tabs>
      </w:pPr>
      <w:r w:rsidRPr="008E1AE3">
        <w:fldChar w:fldCharType="begin"/>
      </w:r>
      <w:r w:rsidRPr="008E1AE3">
        <w:instrText xml:space="preserve"> REF _Ref3299755 \h </w:instrText>
      </w:r>
      <w:r w:rsidRPr="008E1AE3">
        <w:fldChar w:fldCharType="separate"/>
      </w:r>
      <w:r w:rsidRPr="008E1AE3" w:rsidR="00363D25">
        <w:t xml:space="preserve">Figure </w:t>
      </w:r>
      <w:r w:rsidR="00363D25">
        <w:rPr>
          <w:noProof/>
        </w:rPr>
        <w:t>10</w:t>
      </w:r>
      <w:r w:rsidRPr="008E1AE3">
        <w:fldChar w:fldCharType="end"/>
      </w:r>
      <w:r w:rsidRPr="008E1AE3">
        <w:t xml:space="preserve"> displays the total </w:t>
      </w:r>
      <w:r w:rsidRPr="002F0713" w:rsidR="002F0713">
        <w:t xml:space="preserve">building </w:t>
      </w:r>
      <w:r w:rsidRPr="008E1AE3">
        <w:t>contract value listed on the certificates</w:t>
      </w:r>
      <w:r w:rsidR="00AD5843">
        <w:t xml:space="preserve"> </w:t>
      </w:r>
      <w:r w:rsidRPr="008E1AE3" w:rsidR="002F0713">
        <w:t xml:space="preserve">of </w:t>
      </w:r>
      <w:r w:rsidR="002F0713">
        <w:t>insurance issued</w:t>
      </w:r>
      <w:r w:rsidRPr="008E1AE3">
        <w:t xml:space="preserve"> between the two sources. </w:t>
      </w:r>
    </w:p>
    <w:p w:rsidR="00386FF9" w:rsidRPr="008E1AE3" w:rsidP="006131ED" w14:paraId="318F1471" w14:textId="0BFB15ED">
      <w:pPr>
        <w:tabs>
          <w:tab w:val="left" w:pos="3384"/>
        </w:tabs>
        <w:spacing w:after="360"/>
      </w:pPr>
      <w:r w:rsidRPr="008E1AE3">
        <w:t xml:space="preserve">Public sector work has been excluded from the </w:t>
      </w:r>
      <w:r w:rsidRPr="008E1AE3" w:rsidR="006E3945">
        <w:t xml:space="preserve">ABS </w:t>
      </w:r>
      <w:r w:rsidRPr="008E1AE3">
        <w:t xml:space="preserve">data. </w:t>
      </w:r>
      <w:r w:rsidRPr="008E1AE3" w:rsidR="000E43D1">
        <w:t xml:space="preserve">SIRA notes that the ABS data </w:t>
      </w:r>
      <w:r w:rsidR="005E5F92">
        <w:t xml:space="preserve">will include some work </w:t>
      </w:r>
      <w:r w:rsidR="00694F03">
        <w:t>that i</w:t>
      </w:r>
      <w:r w:rsidR="00E7276E">
        <w:t>s</w:t>
      </w:r>
      <w:r w:rsidRPr="008E1AE3" w:rsidR="000E43D1">
        <w:t xml:space="preserve"> exempt from the requirement to purchase HBC </w:t>
      </w:r>
      <w:r w:rsidR="00AD5843">
        <w:t>contract of insurance</w:t>
      </w:r>
      <w:r w:rsidRPr="008E1AE3" w:rsidR="000E43D1">
        <w:t xml:space="preserve">. </w:t>
      </w:r>
    </w:p>
    <w:p w:rsidR="00A76A91" w:rsidRPr="008E1AE3" w:rsidP="00AB0583" w14:paraId="624B79C1" w14:textId="73B0795B">
      <w:pPr>
        <w:pStyle w:val="Figures"/>
      </w:pPr>
      <w:bookmarkStart w:id="224" w:name="_Ref3299660"/>
      <w:bookmarkStart w:id="225" w:name="_Ref4154798"/>
      <w:r w:rsidRPr="008E1AE3">
        <w:t xml:space="preserve">Figure </w:t>
      </w:r>
      <w:r w:rsidRPr="008E1AE3" w:rsidR="0028341A">
        <w:fldChar w:fldCharType="begin"/>
      </w:r>
      <w:r w:rsidRPr="008E1AE3" w:rsidR="0028341A">
        <w:instrText xml:space="preserve"> SEQ Figure \* ARABIC </w:instrText>
      </w:r>
      <w:r w:rsidRPr="008E1AE3" w:rsidR="0028341A">
        <w:fldChar w:fldCharType="separate"/>
      </w:r>
      <w:r w:rsidR="00363D25">
        <w:t>9</w:t>
      </w:r>
      <w:r w:rsidRPr="008E1AE3" w:rsidR="0028341A">
        <w:fldChar w:fldCharType="end"/>
      </w:r>
      <w:bookmarkEnd w:id="224"/>
      <w:r w:rsidRPr="008E1AE3">
        <w:t xml:space="preserve">: </w:t>
      </w:r>
      <w:r w:rsidRPr="008E1AE3" w:rsidR="004E2994">
        <w:t xml:space="preserve">Number of </w:t>
      </w:r>
      <w:r w:rsidRPr="008E1AE3" w:rsidR="00985A73">
        <w:t xml:space="preserve">ABS </w:t>
      </w:r>
      <w:r w:rsidRPr="008E1AE3">
        <w:t xml:space="preserve">building approvals </w:t>
      </w:r>
      <w:r w:rsidRPr="008E1AE3" w:rsidR="004E2994">
        <w:t>and</w:t>
      </w:r>
      <w:r w:rsidRPr="008E1AE3">
        <w:t xml:space="preserve"> certificate</w:t>
      </w:r>
      <w:r w:rsidRPr="008E1AE3" w:rsidR="00A007B1">
        <w:t>s</w:t>
      </w:r>
      <w:r w:rsidRPr="008E1AE3">
        <w:t xml:space="preserve"> </w:t>
      </w:r>
      <w:r w:rsidRPr="008E1AE3" w:rsidR="00985A73">
        <w:t xml:space="preserve">of </w:t>
      </w:r>
      <w:r w:rsidRPr="002F0713" w:rsidR="002F0713">
        <w:t xml:space="preserve">insurance </w:t>
      </w:r>
      <w:r w:rsidRPr="008E1AE3">
        <w:t>issued</w:t>
      </w:r>
      <w:r w:rsidRPr="008E1AE3" w:rsidR="00941573">
        <w:t xml:space="preserve"> over time</w:t>
      </w:r>
      <w:r>
        <w:rPr>
          <w:rStyle w:val="FootnoteReference"/>
        </w:rPr>
        <w:footnoteReference w:id="6"/>
      </w:r>
      <w:bookmarkEnd w:id="225"/>
    </w:p>
    <w:p w:rsidR="00C5133F" w:rsidRPr="008E1AE3" w:rsidP="00C5133F" w14:paraId="62BFF202" w14:textId="70657FA1">
      <w:r w:rsidRPr="00AA0655">
        <w:rPr>
          <w:noProof/>
        </w:rPr>
        <w:t xml:space="preserve"> </w:t>
      </w:r>
      <w:r w:rsidR="00A870B3">
        <w:rPr>
          <w:noProof/>
        </w:rPr>
        <w:drawing>
          <wp:inline distT="0" distB="0" distL="0" distR="0">
            <wp:extent cx="5226050" cy="3344672"/>
            <wp:effectExtent l="0" t="0" r="0" b="8255"/>
            <wp:docPr id="6" name="Picture 6" descr="This chart compares the trends of number of Australian Bureau of Statistics (ABS) building approvals NSW data against number of new HBC certificates of insurance issued from June 2015 to June 2018, for new single and new multiple dwellings of three storeys or less.&#10;&#10;The total number recorded on HBC certificates of insurance issued for new single and multiple dwellings of three storeys or less closely follows the number recorded in ABS building approvals data for NSW. &#10;" title="Number of ABS building approvals and certificates of insurance issued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73965" name="Picture 10"/>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7039" cy="3345305"/>
                    </a:xfrm>
                    <a:prstGeom prst="rect">
                      <a:avLst/>
                    </a:prstGeom>
                    <a:noFill/>
                  </pic:spPr>
                </pic:pic>
              </a:graphicData>
            </a:graphic>
          </wp:inline>
        </w:drawing>
      </w:r>
    </w:p>
    <w:p w:rsidR="006D40A4" w:rsidRPr="008E1AE3" w:rsidP="00AB0583" w14:paraId="5841F888" w14:textId="62258BD0">
      <w:pPr>
        <w:pStyle w:val="Figures"/>
      </w:pPr>
      <w:bookmarkStart w:id="226" w:name="_Ref3299755"/>
      <w:r w:rsidRPr="008E1AE3">
        <w:t xml:space="preserve">Figure </w:t>
      </w:r>
      <w:r w:rsidRPr="008E1AE3" w:rsidR="0028341A">
        <w:fldChar w:fldCharType="begin"/>
      </w:r>
      <w:r w:rsidRPr="008E1AE3" w:rsidR="0028341A">
        <w:instrText xml:space="preserve"> SEQ Figure \* ARABIC </w:instrText>
      </w:r>
      <w:r w:rsidRPr="008E1AE3" w:rsidR="0028341A">
        <w:fldChar w:fldCharType="separate"/>
      </w:r>
      <w:r w:rsidR="00363D25">
        <w:t>10</w:t>
      </w:r>
      <w:r w:rsidRPr="008E1AE3" w:rsidR="0028341A">
        <w:fldChar w:fldCharType="end"/>
      </w:r>
      <w:bookmarkEnd w:id="226"/>
      <w:r w:rsidRPr="008E1AE3" w:rsidR="00777BDF">
        <w:t xml:space="preserve">: </w:t>
      </w:r>
      <w:r w:rsidRPr="008E1AE3" w:rsidR="004E2994">
        <w:t xml:space="preserve">Value ($ millions) of </w:t>
      </w:r>
      <w:r w:rsidRPr="008E1AE3" w:rsidR="1AC57E7E">
        <w:t xml:space="preserve">ABS building approvals </w:t>
      </w:r>
      <w:r w:rsidRPr="008E1AE3" w:rsidR="004E2994">
        <w:t>and</w:t>
      </w:r>
      <w:r w:rsidRPr="008E1AE3" w:rsidR="1AC57E7E">
        <w:t xml:space="preserve"> certificate of </w:t>
      </w:r>
      <w:r w:rsidR="002F0713">
        <w:t>insurance</w:t>
      </w:r>
      <w:r w:rsidRPr="008E1AE3" w:rsidR="002F0713">
        <w:t xml:space="preserve"> </w:t>
      </w:r>
      <w:r w:rsidRPr="008E1AE3" w:rsidR="1AC57E7E">
        <w:t>issued</w:t>
      </w:r>
      <w:r w:rsidRPr="008E1AE3" w:rsidR="00941573">
        <w:t xml:space="preserve"> over time</w:t>
      </w:r>
    </w:p>
    <w:p w:rsidR="000E43D1" w:rsidRPr="008E1AE3" w:rsidP="00DD51FF" w14:paraId="25C673C9" w14:textId="264E293D">
      <w:pPr>
        <w:rPr>
          <w:rFonts w:ascii="Clarendon Lt BT" w:hAnsi="Clarendon Lt BT" w:eastAsiaTheme="majorEastAsia" w:cstheme="majorBidi"/>
          <w:bCs/>
          <w:color w:val="000000" w:themeColor="text1"/>
          <w:sz w:val="32"/>
          <w:szCs w:val="26"/>
        </w:rPr>
      </w:pPr>
      <w:r w:rsidRPr="00AA0655">
        <w:rPr>
          <w:noProof/>
        </w:rPr>
        <w:t xml:space="preserve"> </w:t>
      </w:r>
      <w:r w:rsidR="00A870B3">
        <w:rPr>
          <w:noProof/>
        </w:rPr>
        <w:drawing>
          <wp:inline distT="0" distB="0" distL="0" distR="0">
            <wp:extent cx="5365750" cy="3394591"/>
            <wp:effectExtent l="0" t="0" r="6350" b="0"/>
            <wp:docPr id="452709537" name="Picture 452709537" descr="This chart compares the trends of value of Australian Bureau of Statistics (ABS) building approvals NSW data against value of new HBC certificates of insurance issued from June 2015 to June 2018, for new single and new multiple dwellings of three storeys or less.&#10;&#10;The total value recorded on HBC certificates issued for new single and multiple dwellings of three storeys or less closely follows the value recorded in ABS building approvals data in NSW.&#10;" title="Value ($ millions) of ABS building approvals and certificates of insurance issued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48045" name="Picture 11"/>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5366749" cy="3395223"/>
                    </a:xfrm>
                    <a:prstGeom prst="rect">
                      <a:avLst/>
                    </a:prstGeom>
                    <a:noFill/>
                  </pic:spPr>
                </pic:pic>
              </a:graphicData>
            </a:graphic>
          </wp:inline>
        </w:drawing>
      </w:r>
      <w:r w:rsidRPr="008E1AE3" w:rsidR="00A76C69">
        <w:br w:type="page"/>
      </w:r>
      <w:bookmarkStart w:id="227" w:name="_Toc518654984"/>
      <w:bookmarkStart w:id="228" w:name="_Toc530651484"/>
      <w:bookmarkStart w:id="229" w:name="_Toc530663761"/>
      <w:bookmarkStart w:id="230" w:name="_Toc530672074"/>
      <w:bookmarkStart w:id="231" w:name="_Toc530672516"/>
      <w:bookmarkStart w:id="232" w:name="_Toc530674182"/>
      <w:bookmarkStart w:id="233" w:name="_Toc531180086"/>
      <w:bookmarkStart w:id="234" w:name="_Toc531181925"/>
      <w:bookmarkStart w:id="235" w:name="_Toc2073643"/>
      <w:bookmarkStart w:id="236" w:name="_Toc2083963"/>
      <w:bookmarkStart w:id="237" w:name="_Toc2085885"/>
    </w:p>
    <w:p w:rsidR="000F4690" w:rsidRPr="008E1AE3" w:rsidP="000F4690" w14:paraId="59007EA1" w14:textId="3CDD888F">
      <w:pPr>
        <w:pStyle w:val="Heading2"/>
      </w:pPr>
      <w:bookmarkStart w:id="238" w:name="_Toc4144936"/>
      <w:bookmarkStart w:id="239" w:name="_Toc4483524"/>
      <w:bookmarkStart w:id="240" w:name="_Toc4485215"/>
      <w:bookmarkStart w:id="241" w:name="_Toc15488354"/>
      <w:r w:rsidRPr="008E1AE3">
        <w:t xml:space="preserve">4. </w:t>
      </w:r>
      <w:r w:rsidRPr="008E1AE3" w:rsidR="00786324">
        <w:t>Premium</w:t>
      </w:r>
      <w:bookmarkEnd w:id="227"/>
      <w:bookmarkEnd w:id="228"/>
      <w:bookmarkEnd w:id="229"/>
      <w:bookmarkEnd w:id="230"/>
      <w:bookmarkEnd w:id="231"/>
      <w:bookmarkEnd w:id="232"/>
      <w:bookmarkEnd w:id="233"/>
      <w:bookmarkEnd w:id="234"/>
      <w:bookmarkEnd w:id="235"/>
      <w:bookmarkEnd w:id="236"/>
      <w:bookmarkEnd w:id="237"/>
      <w:r w:rsidRPr="008E1AE3" w:rsidR="00786324">
        <w:t>s</w:t>
      </w:r>
      <w:bookmarkEnd w:id="238"/>
      <w:r w:rsidRPr="008E1AE3">
        <w:t xml:space="preserve"> </w:t>
      </w:r>
      <w:r w:rsidRPr="008E1AE3" w:rsidR="006426AD">
        <w:t>information</w:t>
      </w:r>
      <w:bookmarkEnd w:id="239"/>
      <w:bookmarkEnd w:id="240"/>
      <w:bookmarkEnd w:id="241"/>
    </w:p>
    <w:p w:rsidR="007A7ED8" w:rsidRPr="008E1AE3" w:rsidP="0096738B" w14:paraId="12987EB8" w14:textId="3D2C9334">
      <w:pPr>
        <w:shd w:val="clear" w:color="auto" w:fill="DAEEF3" w:themeFill="accent5" w:themeFillTint="33"/>
        <w:rPr>
          <w:b/>
          <w:bCs/>
        </w:rPr>
      </w:pPr>
      <w:r w:rsidRPr="008E1AE3">
        <w:rPr>
          <w:b/>
          <w:bCs/>
        </w:rPr>
        <w:t>Key comments:</w:t>
      </w:r>
    </w:p>
    <w:p w:rsidR="00604968" w:rsidRPr="008E1AE3" w:rsidP="001E3000" w14:paraId="3A648950" w14:textId="7DEF8AE1">
      <w:pPr>
        <w:pStyle w:val="ListParagraph"/>
        <w:numPr>
          <w:ilvl w:val="0"/>
          <w:numId w:val="17"/>
        </w:numPr>
        <w:shd w:val="clear" w:color="auto" w:fill="DAEEF3" w:themeFill="accent5" w:themeFillTint="33"/>
      </w:pPr>
      <w:r w:rsidRPr="008E1AE3">
        <w:t>The</w:t>
      </w:r>
      <w:r w:rsidRPr="008E1AE3" w:rsidR="007A7ED8">
        <w:t xml:space="preserve"> total premium </w:t>
      </w:r>
      <w:r w:rsidRPr="001E3000" w:rsidR="001E3000">
        <w:t>reported</w:t>
      </w:r>
      <w:r w:rsidR="00F633D1">
        <w:t xml:space="preserve"> </w:t>
      </w:r>
      <w:r w:rsidRPr="008E1AE3" w:rsidR="005B08D8">
        <w:t>over</w:t>
      </w:r>
      <w:r w:rsidRPr="008E1AE3" w:rsidR="00520C67">
        <w:t xml:space="preserve"> </w:t>
      </w:r>
      <w:r w:rsidRPr="008E1AE3" w:rsidR="007A7ED8">
        <w:t>2017/18</w:t>
      </w:r>
      <w:r w:rsidRPr="008E1AE3" w:rsidR="004E4C3A">
        <w:t xml:space="preserve"> </w:t>
      </w:r>
      <w:r w:rsidRPr="008E1AE3">
        <w:t xml:space="preserve">increased </w:t>
      </w:r>
      <w:r w:rsidRPr="008E1AE3" w:rsidR="002F60C2">
        <w:t>to $132 million</w:t>
      </w:r>
      <w:r w:rsidRPr="008E1AE3" w:rsidR="004E4C3A">
        <w:t xml:space="preserve"> due to </w:t>
      </w:r>
      <w:r w:rsidRPr="008E1AE3" w:rsidR="005B08D8">
        <w:t>growth</w:t>
      </w:r>
      <w:r w:rsidRPr="008E1AE3" w:rsidR="004E4C3A">
        <w:t xml:space="preserve"> in the number of certificate</w:t>
      </w:r>
      <w:r w:rsidR="00663262">
        <w:t>s</w:t>
      </w:r>
      <w:r w:rsidRPr="008E1AE3" w:rsidR="004E4C3A">
        <w:t xml:space="preserve"> </w:t>
      </w:r>
      <w:r w:rsidRPr="008E1AE3" w:rsidR="002F0713">
        <w:t xml:space="preserve">of </w:t>
      </w:r>
      <w:r w:rsidR="002F0713">
        <w:t>insurance</w:t>
      </w:r>
      <w:r w:rsidRPr="008E1AE3" w:rsidR="002F0713">
        <w:t xml:space="preserve"> </w:t>
      </w:r>
      <w:r w:rsidRPr="008E1AE3" w:rsidR="004E4C3A">
        <w:t>issued and increase</w:t>
      </w:r>
      <w:r w:rsidRPr="008E1AE3" w:rsidR="005B08D8">
        <w:t>s</w:t>
      </w:r>
      <w:r w:rsidRPr="008E1AE3" w:rsidR="004E4C3A">
        <w:t xml:space="preserve"> in pr</w:t>
      </w:r>
      <w:r w:rsidRPr="008E1AE3" w:rsidR="00A7366A">
        <w:t xml:space="preserve">emium rates </w:t>
      </w:r>
      <w:r w:rsidRPr="008E1AE3" w:rsidR="005B08D8">
        <w:t>charged</w:t>
      </w:r>
      <w:r w:rsidRPr="008E1AE3" w:rsidR="00533E5D">
        <w:t>.</w:t>
      </w:r>
    </w:p>
    <w:p w:rsidR="00607886" w:rsidP="00607886" w14:paraId="68D3FFFD" w14:textId="064AE928">
      <w:pPr>
        <w:pStyle w:val="ListParagraph"/>
        <w:numPr>
          <w:ilvl w:val="0"/>
          <w:numId w:val="17"/>
        </w:numPr>
        <w:shd w:val="clear" w:color="auto" w:fill="DAEEF3" w:themeFill="accent5" w:themeFillTint="33"/>
      </w:pPr>
      <w:r>
        <w:t>T</w:t>
      </w:r>
      <w:r w:rsidR="00492DC3">
        <w:t>he observed premium rates for ‘n</w:t>
      </w:r>
      <w:r>
        <w:t>ew multiple dwelling’ and ‘</w:t>
      </w:r>
      <w:r w:rsidR="00492DC3">
        <w:t>n</w:t>
      </w:r>
      <w:r>
        <w:t xml:space="preserve">ew duplex, triplex’ </w:t>
      </w:r>
      <w:r w:rsidR="00036D06">
        <w:t xml:space="preserve">have </w:t>
      </w:r>
      <w:r w:rsidR="00492DC3">
        <w:t xml:space="preserve">increased significantly </w:t>
      </w:r>
      <w:r w:rsidR="003A6901">
        <w:t>over</w:t>
      </w:r>
      <w:r w:rsidR="00492DC3">
        <w:t xml:space="preserve"> </w:t>
      </w:r>
      <w:r>
        <w:t>two</w:t>
      </w:r>
      <w:r w:rsidR="00492DC3">
        <w:t xml:space="preserve"> </w:t>
      </w:r>
      <w:r>
        <w:t>stage</w:t>
      </w:r>
      <w:r w:rsidR="00492DC3">
        <w:t>s</w:t>
      </w:r>
      <w:r>
        <w:t xml:space="preserve"> in the June and December 2017 quarters, due to premium rate changes by icare </w:t>
      </w:r>
      <w:r w:rsidR="00663262">
        <w:t>HBCF</w:t>
      </w:r>
      <w:r>
        <w:t xml:space="preserve"> in April and October 2017. </w:t>
      </w:r>
      <w:r w:rsidR="003A6901">
        <w:t xml:space="preserve">In contrast, the observed premium rate for ‘swimming pools and others’ </w:t>
      </w:r>
      <w:r w:rsidRPr="008E1AE3" w:rsidR="003A6901">
        <w:t xml:space="preserve">and renovation </w:t>
      </w:r>
      <w:r w:rsidR="003A6901">
        <w:t>fell in June 2017.</w:t>
      </w:r>
    </w:p>
    <w:p w:rsidR="00510264" w:rsidP="00607886" w14:paraId="02DF5690" w14:textId="3DEF0DA8">
      <w:pPr>
        <w:pStyle w:val="ListParagraph"/>
        <w:numPr>
          <w:ilvl w:val="0"/>
          <w:numId w:val="17"/>
        </w:numPr>
        <w:shd w:val="clear" w:color="auto" w:fill="DAEEF3" w:themeFill="accent5" w:themeFillTint="33"/>
      </w:pPr>
      <w:r w:rsidRPr="00510264">
        <w:t>Despite recent increases in premium rates for the ‘new multiple dwelling’ and ‘new duplex, triplex’ construction types (see Figure 13), observed premium rates for these construction types continue to be below the breakeven rates. This has result in total collected premiums being less than total project</w:t>
      </w:r>
      <w:r w:rsidR="00B76F47">
        <w:t>ed</w:t>
      </w:r>
      <w:r w:rsidRPr="00510264">
        <w:t xml:space="preserve"> liabilities for the scheme, as shown in Figure 34</w:t>
      </w:r>
      <w:r w:rsidR="00650D92">
        <w:t xml:space="preserve"> on page 34</w:t>
      </w:r>
      <w:r w:rsidRPr="00510264">
        <w:t>. icare HBCF has forecast to the market its intention to continue to increase premium rates for these construction types in several tranches over the next 24 months, to bring premiums up to the breakeven rate. Premium rates for all other construction types have stabilised at or near respective breakeven rates.</w:t>
      </w:r>
    </w:p>
    <w:p w:rsidR="007A7ED8" w:rsidRPr="008E1AE3" w:rsidP="00C53DBD" w14:paraId="7C541480" w14:textId="4AE7FE61">
      <w:pPr>
        <w:pStyle w:val="ListParagraph"/>
        <w:numPr>
          <w:ilvl w:val="0"/>
          <w:numId w:val="17"/>
        </w:numPr>
        <w:shd w:val="clear" w:color="auto" w:fill="DAEEF3" w:themeFill="accent5" w:themeFillTint="33"/>
      </w:pPr>
      <w:r w:rsidRPr="008E1AE3">
        <w:t>Over the June 2018 quarter, t</w:t>
      </w:r>
      <w:r w:rsidRPr="008E1AE3" w:rsidR="004E4C3A">
        <w:t xml:space="preserve">he observed premium rate was </w:t>
      </w:r>
      <w:r w:rsidRPr="008E1AE3" w:rsidR="00CA377C">
        <w:t>0.6%</w:t>
      </w:r>
      <w:r w:rsidRPr="008E1AE3" w:rsidR="00F2383F">
        <w:t xml:space="preserve"> </w:t>
      </w:r>
      <w:r w:rsidRPr="008E1AE3">
        <w:t>for new single dwelling</w:t>
      </w:r>
      <w:r w:rsidRPr="008E1AE3" w:rsidR="00F2383F">
        <w:t>s, the largest construction type as measured by the number of certificates</w:t>
      </w:r>
      <w:r w:rsidR="00036D06">
        <w:t xml:space="preserve"> </w:t>
      </w:r>
      <w:r w:rsidRPr="008E1AE3" w:rsidR="002F0713">
        <w:t>of</w:t>
      </w:r>
      <w:r w:rsidR="00036D06">
        <w:t xml:space="preserve"> </w:t>
      </w:r>
      <w:r w:rsidR="002F0713">
        <w:t>insurance</w:t>
      </w:r>
      <w:r w:rsidRPr="008E1AE3" w:rsidR="00F2383F">
        <w:t xml:space="preserve"> issued and total premium received.</w:t>
      </w:r>
    </w:p>
    <w:p w:rsidR="006C1FDA" w:rsidRPr="00AA0655" w:rsidP="006131ED" w14:paraId="50EC2698" w14:textId="51767E30">
      <w:pPr>
        <w:pStyle w:val="BodyText"/>
        <w:spacing w:after="360"/>
        <w:rPr>
          <w:rFonts w:ascii="Gotham Book" w:hAnsi="Gotham Book"/>
          <w:sz w:val="22"/>
          <w:szCs w:val="22"/>
        </w:rPr>
      </w:pPr>
      <w:r w:rsidRPr="00AA0655">
        <w:rPr>
          <w:rFonts w:ascii="Gotham Book" w:hAnsi="Gotham Book"/>
          <w:sz w:val="22"/>
          <w:szCs w:val="22"/>
        </w:rPr>
        <w:t>The premiums set out in this report exclude GST, stamp duty and any additional fees that may be charged on top of HBC premiums.</w:t>
      </w:r>
    </w:p>
    <w:p w:rsidR="000F4690" w:rsidRPr="008E1AE3" w:rsidP="00AB0583" w14:paraId="15186507" w14:textId="7A2F594A">
      <w:pPr>
        <w:pStyle w:val="Figures"/>
      </w:pPr>
      <w:bookmarkStart w:id="242" w:name="_Ref2071402"/>
      <w:r w:rsidRPr="008E1AE3">
        <w:t xml:space="preserve">Figure </w:t>
      </w:r>
      <w:r w:rsidRPr="008E1AE3" w:rsidR="0028341A">
        <w:fldChar w:fldCharType="begin"/>
      </w:r>
      <w:r w:rsidRPr="008E1AE3" w:rsidR="0028341A">
        <w:instrText xml:space="preserve"> SEQ Figure \* ARABIC </w:instrText>
      </w:r>
      <w:r w:rsidRPr="008E1AE3" w:rsidR="0028341A">
        <w:fldChar w:fldCharType="separate"/>
      </w:r>
      <w:r w:rsidR="00363D25">
        <w:t>11</w:t>
      </w:r>
      <w:r w:rsidRPr="008E1AE3" w:rsidR="0028341A">
        <w:fldChar w:fldCharType="end"/>
      </w:r>
      <w:bookmarkEnd w:id="242"/>
      <w:r w:rsidRPr="008E1AE3" w:rsidR="00777BDF">
        <w:t>:</w:t>
      </w:r>
      <w:r w:rsidRPr="008E1AE3">
        <w:t xml:space="preserve"> Total premium </w:t>
      </w:r>
      <w:r w:rsidRPr="008E1AE3" w:rsidR="00EF6B0D">
        <w:t xml:space="preserve">reported </w:t>
      </w:r>
      <w:r w:rsidRPr="008E1AE3">
        <w:t>($</w:t>
      </w:r>
      <w:r w:rsidRPr="008E1AE3" w:rsidR="00270644">
        <w:t>million</w:t>
      </w:r>
      <w:r w:rsidRPr="008E1AE3">
        <w:t xml:space="preserve">s) </w:t>
      </w:r>
      <w:r w:rsidRPr="008E1AE3" w:rsidR="00DB4E2B">
        <w:t xml:space="preserve">and </w:t>
      </w:r>
      <w:r w:rsidRPr="008E1AE3" w:rsidR="0079008F">
        <w:t>n</w:t>
      </w:r>
      <w:r w:rsidRPr="008E1AE3" w:rsidR="00DB4E2B">
        <w:t xml:space="preserve">umber of certificates </w:t>
      </w:r>
      <w:r w:rsidRPr="008E1AE3" w:rsidR="00A31E46">
        <w:t xml:space="preserve">of </w:t>
      </w:r>
      <w:r w:rsidR="00A31E46">
        <w:t>insurance</w:t>
      </w:r>
      <w:r w:rsidRPr="008E1AE3" w:rsidR="00A31E46">
        <w:t xml:space="preserve"> </w:t>
      </w:r>
      <w:r w:rsidRPr="008E1AE3" w:rsidR="0079008F">
        <w:t xml:space="preserve">issued by year </w:t>
      </w:r>
    </w:p>
    <w:p w:rsidR="000F4690" w:rsidRPr="008E1AE3" w:rsidP="006D1601" w14:paraId="63E87B5B" w14:textId="48DA6924">
      <w:pPr>
        <w:pStyle w:val="ListBullet"/>
        <w:numPr>
          <w:ilvl w:val="0"/>
          <w:numId w:val="0"/>
        </w:numPr>
        <w:jc w:val="center"/>
        <w:rPr>
          <w:b/>
          <w:sz w:val="18"/>
          <w:szCs w:val="18"/>
        </w:rPr>
      </w:pPr>
      <w:r w:rsidRPr="008E1AE3">
        <w:rPr>
          <w:noProof/>
        </w:rPr>
        <w:drawing>
          <wp:inline distT="0" distB="0" distL="0" distR="0">
            <wp:extent cx="5562600" cy="3463678"/>
            <wp:effectExtent l="0" t="0" r="0" b="3810"/>
            <wp:docPr id="2036236226" name="Picture 2036236226" descr="This chart shows the trend of total premium reported ($millions) and number of certificates of insurance issued over the years from 2011/12 to 2017/18.&#10;&#10;Both total premium and number of certificates issued show an upward trend since 2012/13. The total premium reported over 2017/18 increased to $132 million due to growth in the number of certificates issued and increases in premium rates charged.&#10;&#10;In 2012/13, 50,158 certificates were issued and $53 million premium reported. As the growth continued, in 2017/18, 78,440 certificates were issued and $132 million premium reported.&#10;&#10;" title="Total premium reported ($millions) and number of certificates of insurance issued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798766" name=""/>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a:xfrm>
                      <a:off x="0" y="0"/>
                      <a:ext cx="5630056" cy="3505681"/>
                    </a:xfrm>
                    <a:prstGeom prst="rect">
                      <a:avLst/>
                    </a:prstGeom>
                  </pic:spPr>
                </pic:pic>
              </a:graphicData>
            </a:graphic>
          </wp:inline>
        </w:drawing>
      </w:r>
    </w:p>
    <w:p w:rsidR="000F4690" w:rsidRPr="008E1AE3" w:rsidP="00A81234" w14:paraId="1940C973" w14:textId="1FA99154"/>
    <w:p w:rsidR="000F4690" w:rsidRPr="008E1AE3" w:rsidP="00AB0583" w14:paraId="2C1253B9" w14:textId="0829F250">
      <w:pPr>
        <w:pStyle w:val="Figures"/>
      </w:pPr>
      <w:bookmarkStart w:id="243" w:name="_Ref2071442"/>
      <w:r w:rsidRPr="008E1AE3">
        <w:t xml:space="preserve">Figure </w:t>
      </w:r>
      <w:r w:rsidRPr="008E1AE3" w:rsidR="0028341A">
        <w:fldChar w:fldCharType="begin"/>
      </w:r>
      <w:r w:rsidRPr="008E1AE3" w:rsidR="0028341A">
        <w:instrText xml:space="preserve"> SEQ Figure \* ARABIC </w:instrText>
      </w:r>
      <w:r w:rsidRPr="008E1AE3" w:rsidR="0028341A">
        <w:fldChar w:fldCharType="separate"/>
      </w:r>
      <w:r w:rsidR="00363D25">
        <w:t>12</w:t>
      </w:r>
      <w:r w:rsidRPr="008E1AE3" w:rsidR="0028341A">
        <w:fldChar w:fldCharType="end"/>
      </w:r>
      <w:bookmarkEnd w:id="243"/>
      <w:r w:rsidRPr="008E1AE3" w:rsidR="00777BDF">
        <w:t xml:space="preserve">: </w:t>
      </w:r>
      <w:r w:rsidRPr="008E1AE3">
        <w:t>Total premium</w:t>
      </w:r>
      <w:r w:rsidRPr="008E1AE3" w:rsidR="00036CC1">
        <w:t xml:space="preserve"> </w:t>
      </w:r>
      <w:r w:rsidRPr="008E1AE3" w:rsidR="005D2666">
        <w:t>reported</w:t>
      </w:r>
      <w:r w:rsidRPr="008E1AE3" w:rsidR="0079008F">
        <w:t xml:space="preserve"> </w:t>
      </w:r>
      <w:r w:rsidRPr="008E1AE3">
        <w:t>($</w:t>
      </w:r>
      <w:r w:rsidRPr="008E1AE3" w:rsidR="0026718D">
        <w:t xml:space="preserve"> </w:t>
      </w:r>
      <w:r w:rsidRPr="008E1AE3" w:rsidR="0037696B">
        <w:t>millions</w:t>
      </w:r>
      <w:r w:rsidRPr="008E1AE3">
        <w:t xml:space="preserve">) </w:t>
      </w:r>
      <w:r w:rsidRPr="008E1AE3" w:rsidR="0079008F">
        <w:t>by construction type and year</w:t>
      </w:r>
      <w:r w:rsidRPr="008E1AE3">
        <w:t xml:space="preserve"> </w:t>
      </w:r>
    </w:p>
    <w:p w:rsidR="000F4690" w:rsidRPr="008E1AE3" w:rsidP="006307F2" w14:paraId="5622B70C" w14:textId="56C63407">
      <w:pPr>
        <w:pStyle w:val="ListBullet"/>
        <w:numPr>
          <w:ilvl w:val="0"/>
          <w:numId w:val="0"/>
        </w:numPr>
        <w:spacing w:after="480"/>
        <w:rPr>
          <w:b/>
          <w:sz w:val="18"/>
          <w:szCs w:val="18"/>
        </w:rPr>
      </w:pPr>
      <w:r w:rsidRPr="008E1AE3">
        <w:rPr>
          <w:noProof/>
        </w:rPr>
        <w:drawing>
          <wp:inline distT="0" distB="0" distL="0" distR="0">
            <wp:extent cx="6090284" cy="3822700"/>
            <wp:effectExtent l="0" t="0" r="5715" b="6350"/>
            <wp:docPr id="1573700761" name="Picture 1573700761" descr="This chart shows the trend of Total premium reported ($ millions) by construction type over the years from 2011/12 to 2017/18.&#10;&#10;Premium reported for “New single dwelling’, Alterations and ‘New duplex, triplex (since introduced in 2015/16) shows steady upward trend over the years. &#10;&#10;Premium received for ‘New multiple dwelling’ dropped in 2015/16 but continued to grow from 2016/17. &#10;Premium received for ‘Renovations’ and ‘Swimming pools and others’ did not have any noticeable change over the years.&#10;" title="Total premium reported ($ millions) by construction type and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984617" name=""/>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a:xfrm>
                      <a:off x="0" y="0"/>
                      <a:ext cx="6090284" cy="3822700"/>
                    </a:xfrm>
                    <a:prstGeom prst="rect">
                      <a:avLst/>
                    </a:prstGeom>
                  </pic:spPr>
                </pic:pic>
              </a:graphicData>
            </a:graphic>
          </wp:inline>
        </w:drawing>
      </w:r>
    </w:p>
    <w:p w:rsidR="00E1675C" w:rsidRPr="008E1AE3" w:rsidP="00E1675C" w14:paraId="5CDF2CFD" w14:textId="4E20D03C">
      <w:pPr>
        <w:pStyle w:val="Figures"/>
      </w:pPr>
      <w:bookmarkStart w:id="244" w:name="_Ref3462239"/>
      <w:bookmarkStart w:id="245" w:name="_Hlk2148841"/>
      <w:r w:rsidRPr="008E1AE3">
        <w:t xml:space="preserve">Figure </w:t>
      </w:r>
      <w:r w:rsidRPr="008E1AE3" w:rsidR="0028341A">
        <w:fldChar w:fldCharType="begin"/>
      </w:r>
      <w:r w:rsidRPr="008E1AE3" w:rsidR="0028341A">
        <w:instrText xml:space="preserve"> SEQ Figure \* ARABIC </w:instrText>
      </w:r>
      <w:r w:rsidRPr="008E1AE3" w:rsidR="0028341A">
        <w:fldChar w:fldCharType="separate"/>
      </w:r>
      <w:r w:rsidR="00363D25">
        <w:t>13</w:t>
      </w:r>
      <w:r w:rsidRPr="008E1AE3" w:rsidR="0028341A">
        <w:fldChar w:fldCharType="end"/>
      </w:r>
      <w:bookmarkEnd w:id="244"/>
      <w:r w:rsidRPr="008E1AE3">
        <w:t xml:space="preserve">: </w:t>
      </w:r>
      <w:r w:rsidRPr="008E1AE3" w:rsidR="00536027">
        <w:t xml:space="preserve">Observed </w:t>
      </w:r>
      <w:r w:rsidRPr="008E1AE3">
        <w:t xml:space="preserve">premium rate (% of contract value) </w:t>
      </w:r>
      <w:r w:rsidRPr="008E1AE3" w:rsidR="0079008F">
        <w:t xml:space="preserve">by construction type and year </w:t>
      </w:r>
    </w:p>
    <w:p w:rsidR="000F4690" w:rsidRPr="008E1AE3" w:rsidP="00FF14A4" w14:paraId="013B7AA8" w14:textId="3C401661">
      <w:bookmarkEnd w:id="245"/>
      <w:r w:rsidRPr="008E1AE3">
        <w:rPr>
          <w:noProof/>
        </w:rPr>
        <w:drawing>
          <wp:inline distT="0" distB="0" distL="0" distR="0">
            <wp:extent cx="6108700" cy="3822700"/>
            <wp:effectExtent l="0" t="0" r="6350" b="6350"/>
            <wp:docPr id="726609896" name="Picture 726609896" descr="This chart shows the trend of observed premium rate (premium as a % of contract value) for each construction type over the years from 2011/12 to 2017/18.&#10;&#10;From 2011/12 to 2015/16 the observed premium rate for all construction types remained largely unchanged, with ‘New multiple dwelling’ the highest and ‘New single dwelling’ the lowest. &#10;&#10;From 2016/17, the observed premium rate for ‘New multiple dwelling’ and ‘New duplex, triplex’ have significantly increased, whereas ‘swimming pools and others’ have decreased, and other construction types remained largely unchanged. &#10;&#10;Premium rate for ‘New multiple dwelling’ increased from 0.93% in 2016/17 to 1.56% in 2017/18. Premium rate for ‘New duplex, triplex’ increased from 0.96% in 2016/17 to 1.65% in 2017/18." title="Observed premium rate (% of contract value) by construction type and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11633" name=""/>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a:xfrm>
                      <a:off x="0" y="0"/>
                      <a:ext cx="6108700" cy="3822700"/>
                    </a:xfrm>
                    <a:prstGeom prst="rect">
                      <a:avLst/>
                    </a:prstGeom>
                  </pic:spPr>
                </pic:pic>
              </a:graphicData>
            </a:graphic>
          </wp:inline>
        </w:drawing>
      </w:r>
    </w:p>
    <w:p w:rsidR="00266D7C" w:rsidRPr="008E1AE3" w:rsidP="00653363" w14:paraId="32C9A964" w14:textId="5E5632B9">
      <w:pPr>
        <w:rPr>
          <w:rFonts w:cs="Arial"/>
          <w:color w:val="000000"/>
        </w:rPr>
      </w:pPr>
      <w:r>
        <w:rPr>
          <w:rFonts w:cs="Arial"/>
          <w:color w:val="000000"/>
        </w:rPr>
        <w:t xml:space="preserve">Note: </w:t>
      </w:r>
      <w:r w:rsidRPr="00446E53" w:rsidR="00446E53">
        <w:rPr>
          <w:rFonts w:cs="Arial"/>
          <w:color w:val="000000"/>
        </w:rPr>
        <w:t>The observed premium rates for ‘new multiple dwelling’ and ‘new duplex, triplex’ have increased in 2017/18 due to premium rate changes by icare HBCF as can be seen in Figure 13 and 14, while premium rate for ‘swimming pools and others’ and renovation reduced as can be seen in Figure 14.</w:t>
      </w:r>
    </w:p>
    <w:p w:rsidR="004D15BD" w:rsidRPr="008E1AE3" w:rsidP="004D15BD" w14:paraId="416734F1" w14:textId="41748B50">
      <w:pPr>
        <w:pStyle w:val="Figures"/>
      </w:pPr>
      <w:bookmarkStart w:id="246" w:name="_Ref3542977"/>
      <w:r w:rsidRPr="008E1AE3">
        <w:t xml:space="preserve">Figure </w:t>
      </w:r>
      <w:r w:rsidRPr="008E1AE3">
        <w:fldChar w:fldCharType="begin"/>
      </w:r>
      <w:r w:rsidRPr="008E1AE3">
        <w:instrText xml:space="preserve"> SEQ Figure \* ARABIC </w:instrText>
      </w:r>
      <w:r w:rsidRPr="008E1AE3">
        <w:fldChar w:fldCharType="separate"/>
      </w:r>
      <w:r w:rsidR="00363D25">
        <w:t>14</w:t>
      </w:r>
      <w:r w:rsidRPr="008E1AE3">
        <w:fldChar w:fldCharType="end"/>
      </w:r>
      <w:bookmarkEnd w:id="246"/>
      <w:r w:rsidRPr="008E1AE3">
        <w:t xml:space="preserve">: </w:t>
      </w:r>
      <w:r w:rsidRPr="008E1AE3" w:rsidR="004C43F3">
        <w:t xml:space="preserve">Observed </w:t>
      </w:r>
      <w:r w:rsidRPr="008E1AE3">
        <w:t xml:space="preserve">premium rate (% of contract value) </w:t>
      </w:r>
      <w:r w:rsidRPr="008E1AE3" w:rsidR="0079008F">
        <w:t xml:space="preserve">by construction type and </w:t>
      </w:r>
      <w:r w:rsidRPr="008E1AE3">
        <w:t>quarter</w:t>
      </w:r>
    </w:p>
    <w:p w:rsidR="004D15BD" w:rsidRPr="008E1AE3" w:rsidP="004D15BD" w14:paraId="2F66D2ED" w14:textId="3964F75B">
      <w:pPr>
        <w:rPr>
          <w:b/>
          <w:sz w:val="18"/>
          <w:szCs w:val="18"/>
        </w:rPr>
      </w:pPr>
      <w:r w:rsidRPr="008E1AE3">
        <w:rPr>
          <w:noProof/>
        </w:rPr>
        <w:drawing>
          <wp:inline distT="0" distB="0" distL="0" distR="0">
            <wp:extent cx="6120765" cy="3822700"/>
            <wp:effectExtent l="0" t="0" r="0" b="6350"/>
            <wp:docPr id="1859394016" name="Picture 1859394016" descr="This chart shows the trend of observed premium rate (premium as a % of contract value) for each construction type for each quarter from June 2015 to June 2018.&#10;&#10;From June 2015 to March 2017 the observed premium rate for all construction types remained largely unchanged. &#10;&#10;The observed premium rates for ‘New multiple dwelling’ and ‘New duplex, triplex’ showed a two-stages increases in the June 2017 and December 2017 quarters, due to premium rate changes by icare hbcf in April and October 2017.  &#10;&#10;The observed premium rate for ‘swimming pools and others’ fell slightly in June 2017 then levelled till June 2018. &#10;" title="Observed premium rate (% of contract value) by construction type and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439536" name=""/>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a:xfrm>
                      <a:off x="0" y="0"/>
                      <a:ext cx="6120765" cy="3822700"/>
                    </a:xfrm>
                    <a:prstGeom prst="rect">
                      <a:avLst/>
                    </a:prstGeom>
                  </pic:spPr>
                </pic:pic>
              </a:graphicData>
            </a:graphic>
          </wp:inline>
        </w:drawing>
      </w:r>
    </w:p>
    <w:p w:rsidR="00C131EB" w:rsidRPr="008E1AE3" w:rsidP="00FF14A4" w14:paraId="01E7C1FE" w14:textId="5A026A6F">
      <w:r w:rsidRPr="008E1AE3">
        <w:t xml:space="preserve"> </w:t>
      </w:r>
    </w:p>
    <w:p w:rsidR="004966CE" w:rsidRPr="008E1AE3" w14:paraId="3BB597DE" w14:textId="30288058">
      <w:pPr>
        <w:spacing w:before="0" w:after="200"/>
        <w:rPr>
          <w:rFonts w:ascii="Clarendon Lt BT" w:hAnsi="Clarendon Lt BT" w:eastAsiaTheme="majorEastAsia" w:cstheme="majorBidi"/>
          <w:bCs/>
          <w:color w:val="000000" w:themeColor="text1"/>
          <w:sz w:val="32"/>
          <w:szCs w:val="26"/>
        </w:rPr>
      </w:pPr>
      <w:r w:rsidRPr="008E1AE3">
        <w:br w:type="page"/>
      </w:r>
    </w:p>
    <w:p w:rsidR="004A6998" w:rsidRPr="008E1AE3" w:rsidP="00DE3EF5" w14:paraId="5253A832" w14:textId="02D9D33B">
      <w:pPr>
        <w:pStyle w:val="Heading2"/>
        <w:spacing w:line="252" w:lineRule="auto"/>
      </w:pPr>
      <w:bookmarkStart w:id="247" w:name="_Toc530651486"/>
      <w:bookmarkStart w:id="248" w:name="_Toc530663763"/>
      <w:bookmarkStart w:id="249" w:name="_Toc530672076"/>
      <w:bookmarkStart w:id="250" w:name="_Toc530672518"/>
      <w:bookmarkStart w:id="251" w:name="_Toc530674184"/>
      <w:bookmarkStart w:id="252" w:name="_Toc531180088"/>
      <w:bookmarkStart w:id="253" w:name="_Toc531181927"/>
      <w:bookmarkStart w:id="254" w:name="_Toc2073645"/>
      <w:bookmarkStart w:id="255" w:name="_Toc2083965"/>
      <w:bookmarkStart w:id="256" w:name="_Toc2085887"/>
      <w:bookmarkStart w:id="257" w:name="_Ref2175349"/>
      <w:bookmarkStart w:id="258" w:name="_Toc4483525"/>
      <w:bookmarkStart w:id="259" w:name="_Toc4485216"/>
      <w:bookmarkStart w:id="260" w:name="_Toc15488355"/>
      <w:bookmarkStart w:id="261" w:name="_Toc518654985"/>
      <w:bookmarkStart w:id="262" w:name="_Toc4144937"/>
      <w:r w:rsidRPr="008E1AE3">
        <w:t xml:space="preserve">5. </w:t>
      </w:r>
      <w:r w:rsidRPr="008E1AE3" w:rsidR="1BFB2D63">
        <w:t>Claim</w:t>
      </w:r>
      <w:r w:rsidRPr="008E1AE3" w:rsidR="00A94384">
        <w:t>s</w:t>
      </w:r>
      <w:r w:rsidRPr="008E1AE3" w:rsidR="00ED207D">
        <w:t xml:space="preserve"> </w:t>
      </w:r>
      <w:bookmarkEnd w:id="247"/>
      <w:bookmarkEnd w:id="248"/>
      <w:bookmarkEnd w:id="249"/>
      <w:bookmarkEnd w:id="250"/>
      <w:bookmarkEnd w:id="251"/>
      <w:bookmarkEnd w:id="252"/>
      <w:bookmarkEnd w:id="253"/>
      <w:bookmarkEnd w:id="254"/>
      <w:bookmarkEnd w:id="255"/>
      <w:bookmarkEnd w:id="256"/>
      <w:bookmarkEnd w:id="257"/>
      <w:r w:rsidRPr="008E1AE3" w:rsidR="00A94384">
        <w:t>information</w:t>
      </w:r>
      <w:bookmarkEnd w:id="258"/>
      <w:bookmarkEnd w:id="259"/>
      <w:bookmarkEnd w:id="260"/>
      <w:r w:rsidRPr="008E1AE3" w:rsidR="1BFB2D63">
        <w:t xml:space="preserve"> </w:t>
      </w:r>
      <w:bookmarkEnd w:id="261"/>
      <w:bookmarkEnd w:id="262"/>
    </w:p>
    <w:p w:rsidR="00C97390" w:rsidRPr="008E1AE3" w:rsidP="00DE3EF5" w14:paraId="7907C9B2" w14:textId="77777777">
      <w:pPr>
        <w:shd w:val="clear" w:color="auto" w:fill="DAEEF3" w:themeFill="accent5" w:themeFillTint="33"/>
        <w:spacing w:line="240" w:lineRule="auto"/>
        <w:rPr>
          <w:b/>
        </w:rPr>
      </w:pPr>
      <w:bookmarkStart w:id="263" w:name="_Hlk529956326"/>
      <w:bookmarkStart w:id="264" w:name="_Hlk8988548"/>
      <w:bookmarkEnd w:id="263"/>
      <w:r w:rsidRPr="008E1AE3">
        <w:rPr>
          <w:b/>
        </w:rPr>
        <w:t>Key comments:</w:t>
      </w:r>
    </w:p>
    <w:p w:rsidR="0051284A" w:rsidRPr="008E1AE3" w:rsidP="00DE3EF5" w14:paraId="5B6CC0FD" w14:textId="609ADFE7">
      <w:pPr>
        <w:pStyle w:val="ListParagraph"/>
        <w:numPr>
          <w:ilvl w:val="0"/>
          <w:numId w:val="17"/>
        </w:numPr>
        <w:shd w:val="clear" w:color="auto" w:fill="DAEEF3" w:themeFill="accent5" w:themeFillTint="33"/>
        <w:spacing w:line="240" w:lineRule="auto"/>
        <w:ind w:left="357" w:hanging="357"/>
      </w:pPr>
      <w:bookmarkEnd w:id="264"/>
      <w:r w:rsidRPr="008E1AE3">
        <w:t xml:space="preserve">Over 2017/18, there were </w:t>
      </w:r>
      <w:r w:rsidR="00497B1A">
        <w:t>762</w:t>
      </w:r>
      <w:r w:rsidRPr="008E1AE3" w:rsidR="005F0EC9">
        <w:t xml:space="preserve"> notifications</w:t>
      </w:r>
      <w:r w:rsidR="00D74F54">
        <w:t xml:space="preserve"> of loss</w:t>
      </w:r>
      <w:r w:rsidRPr="008E1AE3">
        <w:t xml:space="preserve">. For comparison purposes, there were </w:t>
      </w:r>
      <w:r w:rsidR="00497B1A">
        <w:t>7</w:t>
      </w:r>
      <w:r w:rsidRPr="008E1AE3" w:rsidR="00A71286">
        <w:t>68</w:t>
      </w:r>
      <w:r w:rsidRPr="008E1AE3">
        <w:t xml:space="preserve"> notifications </w:t>
      </w:r>
      <w:r w:rsidR="00EF03FB">
        <w:t>of loss</w:t>
      </w:r>
      <w:r w:rsidRPr="008E1AE3" w:rsidR="00EF03FB">
        <w:t xml:space="preserve"> </w:t>
      </w:r>
      <w:r w:rsidRPr="008E1AE3">
        <w:t>over 2016/17.</w:t>
      </w:r>
      <w:r w:rsidR="009C342B">
        <w:t xml:space="preserve"> </w:t>
      </w:r>
      <w:r w:rsidRPr="008E1AE3">
        <w:t xml:space="preserve"> </w:t>
      </w:r>
    </w:p>
    <w:p w:rsidR="007D2A75" w:rsidP="00DE3EF5" w14:paraId="428C5AFA" w14:textId="1CCB6066">
      <w:pPr>
        <w:pStyle w:val="ListParagraph"/>
        <w:numPr>
          <w:ilvl w:val="0"/>
          <w:numId w:val="17"/>
        </w:numPr>
        <w:shd w:val="clear" w:color="auto" w:fill="DAEEF3" w:themeFill="accent5" w:themeFillTint="33"/>
        <w:spacing w:line="240" w:lineRule="auto"/>
        <w:ind w:left="357" w:hanging="357"/>
      </w:pPr>
      <w:r w:rsidRPr="008E1AE3">
        <w:t xml:space="preserve">The number of </w:t>
      </w:r>
      <w:bookmarkStart w:id="265" w:name="_Hlk5876948"/>
      <w:r w:rsidRPr="008E1AE3">
        <w:t>claims</w:t>
      </w:r>
      <w:r w:rsidR="00AA01D7">
        <w:t xml:space="preserve"> </w:t>
      </w:r>
      <w:r w:rsidR="006B3519">
        <w:t xml:space="preserve">lodged </w:t>
      </w:r>
      <w:bookmarkEnd w:id="265"/>
      <w:r w:rsidR="00EF03FB">
        <w:t>(</w:t>
      </w:r>
      <w:r w:rsidR="00497B1A">
        <w:t xml:space="preserve">i.e. </w:t>
      </w:r>
      <w:r w:rsidR="00EF03FB">
        <w:t>notifications of loss</w:t>
      </w:r>
      <w:r w:rsidR="00497B1A">
        <w:t xml:space="preserve"> which have </w:t>
      </w:r>
      <w:r w:rsidRPr="008E1AE3" w:rsidR="00497B1A">
        <w:rPr>
          <w:rFonts w:eastAsiaTheme="minorEastAsia"/>
        </w:rPr>
        <w:t>progress</w:t>
      </w:r>
      <w:r w:rsidR="00497B1A">
        <w:rPr>
          <w:rFonts w:eastAsiaTheme="minorEastAsia"/>
        </w:rPr>
        <w:t>ed</w:t>
      </w:r>
      <w:r w:rsidRPr="008E1AE3" w:rsidR="00497B1A">
        <w:rPr>
          <w:rFonts w:eastAsiaTheme="minorEastAsia"/>
        </w:rPr>
        <w:t xml:space="preserve"> to become </w:t>
      </w:r>
      <w:r w:rsidRPr="008E1AE3" w:rsidR="00026CBA">
        <w:rPr>
          <w:rFonts w:eastAsiaTheme="minorEastAsia"/>
        </w:rPr>
        <w:t>claim</w:t>
      </w:r>
      <w:r w:rsidR="00947962">
        <w:rPr>
          <w:rFonts w:eastAsiaTheme="minorEastAsia"/>
        </w:rPr>
        <w:t>s</w:t>
      </w:r>
      <w:r w:rsidRPr="008E1AE3" w:rsidR="00026CBA">
        <w:rPr>
          <w:rFonts w:eastAsiaTheme="minorEastAsia"/>
        </w:rPr>
        <w:t xml:space="preserve"> </w:t>
      </w:r>
      <w:r w:rsidRPr="008E1AE3" w:rsidR="00497B1A">
        <w:rPr>
          <w:rFonts w:eastAsiaTheme="minorEastAsia"/>
        </w:rPr>
        <w:t>lodged</w:t>
      </w:r>
      <w:r w:rsidR="00EF03FB">
        <w:t xml:space="preserve">), hereinafter referred to as ‘claims’, </w:t>
      </w:r>
      <w:r w:rsidRPr="008E1AE3">
        <w:t xml:space="preserve">has decreased by 37%, dropping from 500 in 2016/17 to </w:t>
      </w:r>
      <w:r w:rsidRPr="008E1AE3" w:rsidR="00A55E43">
        <w:t xml:space="preserve">316 </w:t>
      </w:r>
      <w:r w:rsidRPr="008E1AE3">
        <w:t>in 2017/18</w:t>
      </w:r>
      <w:r w:rsidRPr="008E1AE3" w:rsidR="00A55E43">
        <w:t xml:space="preserve">. </w:t>
      </w:r>
    </w:p>
    <w:p w:rsidR="00862053" w:rsidRPr="008E1AE3" w:rsidP="00DE3EF5" w14:paraId="0606D61D" w14:textId="36A8C02A">
      <w:pPr>
        <w:pStyle w:val="ListParagraph"/>
        <w:numPr>
          <w:ilvl w:val="0"/>
          <w:numId w:val="17"/>
        </w:numPr>
        <w:shd w:val="clear" w:color="auto" w:fill="DAEEF3" w:themeFill="accent5" w:themeFillTint="33"/>
        <w:spacing w:line="240" w:lineRule="auto"/>
        <w:ind w:left="357" w:hanging="357"/>
      </w:pPr>
      <w:r w:rsidRPr="008E1AE3">
        <w:t xml:space="preserve">Of the </w:t>
      </w:r>
      <w:r w:rsidRPr="008E1AE3" w:rsidR="00F30DDD">
        <w:t xml:space="preserve">claims </w:t>
      </w:r>
      <w:r w:rsidR="006B3519">
        <w:t xml:space="preserve">lodged </w:t>
      </w:r>
      <w:r w:rsidRPr="008E1AE3" w:rsidR="00F30DDD">
        <w:t>in 2017/18</w:t>
      </w:r>
      <w:r w:rsidRPr="008E1AE3">
        <w:t xml:space="preserve">, </w:t>
      </w:r>
      <w:r w:rsidRPr="008E1AE3" w:rsidR="005F0EC9">
        <w:t>156</w:t>
      </w:r>
      <w:r w:rsidRPr="008E1AE3" w:rsidR="00D258C3">
        <w:t xml:space="preserve"> (</w:t>
      </w:r>
      <w:r w:rsidRPr="008E1AE3">
        <w:t>50</w:t>
      </w:r>
      <w:r w:rsidRPr="008E1AE3" w:rsidR="00D258C3">
        <w:t>%) related to new single dwellings.</w:t>
      </w:r>
      <w:r w:rsidRPr="008E1AE3" w:rsidR="009B7FDC">
        <w:t xml:space="preserve"> </w:t>
      </w:r>
      <w:r w:rsidR="00EF03FB">
        <w:t>M</w:t>
      </w:r>
      <w:r w:rsidRPr="008E1AE3" w:rsidR="009B7FDC">
        <w:t xml:space="preserve">ajority of claims are classified as major defects. </w:t>
      </w:r>
    </w:p>
    <w:p w:rsidR="00F30DDD" w:rsidRPr="008E1AE3" w:rsidP="00DE3EF5" w14:paraId="59BEA942" w14:textId="513256E1">
      <w:pPr>
        <w:pStyle w:val="ListParagraph"/>
        <w:numPr>
          <w:ilvl w:val="0"/>
          <w:numId w:val="17"/>
        </w:numPr>
        <w:shd w:val="clear" w:color="auto" w:fill="DAEEF3" w:themeFill="accent5" w:themeFillTint="33"/>
        <w:spacing w:line="240" w:lineRule="auto"/>
        <w:ind w:left="357" w:hanging="357"/>
      </w:pPr>
      <w:r w:rsidRPr="008E1AE3">
        <w:t>Of thos</w:t>
      </w:r>
      <w:r w:rsidRPr="008E1AE3" w:rsidR="009B7FDC">
        <w:t xml:space="preserve">e </w:t>
      </w:r>
      <w:r w:rsidRPr="008E1AE3">
        <w:t xml:space="preserve">claims </w:t>
      </w:r>
      <w:r w:rsidR="006B3519">
        <w:t xml:space="preserve">lodged </w:t>
      </w:r>
      <w:r w:rsidRPr="008E1AE3">
        <w:t>where liability has been assessed, liability has been accepted for 76% of claims.</w:t>
      </w:r>
    </w:p>
    <w:p w:rsidR="00927FC6" w:rsidRPr="008E1AE3" w:rsidP="00DE3EF5" w14:paraId="390B3C49" w14:textId="133BCBF9">
      <w:pPr>
        <w:pStyle w:val="ListParagraph"/>
        <w:numPr>
          <w:ilvl w:val="0"/>
          <w:numId w:val="17"/>
        </w:numPr>
        <w:shd w:val="clear" w:color="auto" w:fill="DAEEF3" w:themeFill="accent5" w:themeFillTint="33"/>
        <w:spacing w:line="240" w:lineRule="auto"/>
        <w:ind w:left="357" w:hanging="357"/>
      </w:pPr>
      <w:r w:rsidRPr="008E1AE3">
        <w:t xml:space="preserve">For claims </w:t>
      </w:r>
      <w:r w:rsidR="006B3519">
        <w:t xml:space="preserve">lodged </w:t>
      </w:r>
      <w:r w:rsidRPr="008E1AE3">
        <w:t>w</w:t>
      </w:r>
      <w:r w:rsidRPr="008E1AE3">
        <w:t xml:space="preserve">here liability was denied, </w:t>
      </w:r>
      <w:r w:rsidRPr="008E1AE3">
        <w:t>the primary reasons given were</w:t>
      </w:r>
      <w:r w:rsidRPr="008E1AE3" w:rsidR="00852361">
        <w:t>:</w:t>
      </w:r>
      <w:r w:rsidRPr="008E1AE3">
        <w:t xml:space="preserve"> </w:t>
      </w:r>
      <w:r w:rsidRPr="008E1AE3">
        <w:t>‘</w:t>
      </w:r>
      <w:r w:rsidRPr="008E1AE3" w:rsidR="00C26AA7">
        <w:t>b</w:t>
      </w:r>
      <w:r w:rsidRPr="008E1AE3">
        <w:t>uilder not insolvent’, ‘</w:t>
      </w:r>
      <w:r w:rsidRPr="008E1AE3" w:rsidR="00C26AA7">
        <w:t>n</w:t>
      </w:r>
      <w:r w:rsidRPr="008E1AE3">
        <w:t>ot deemed a defect’ and ‘</w:t>
      </w:r>
      <w:r w:rsidRPr="008E1AE3" w:rsidR="00C26AA7">
        <w:t>o</w:t>
      </w:r>
      <w:r w:rsidRPr="008E1AE3">
        <w:t>ut of time’.</w:t>
      </w:r>
    </w:p>
    <w:p w:rsidR="009B7FDC" w:rsidRPr="008E1AE3" w:rsidP="00DE3EF5" w14:paraId="4AAD9999" w14:textId="5F6CEE19">
      <w:pPr>
        <w:pStyle w:val="ListParagraph"/>
        <w:numPr>
          <w:ilvl w:val="0"/>
          <w:numId w:val="17"/>
        </w:numPr>
        <w:shd w:val="clear" w:color="auto" w:fill="DAEEF3" w:themeFill="accent5" w:themeFillTint="33"/>
        <w:spacing w:line="240" w:lineRule="auto"/>
        <w:ind w:left="357" w:hanging="357"/>
      </w:pPr>
      <w:r w:rsidRPr="008E1AE3">
        <w:t xml:space="preserve">Of those claims </w:t>
      </w:r>
      <w:r w:rsidR="006B3519">
        <w:t xml:space="preserve">lodged </w:t>
      </w:r>
      <w:r w:rsidRPr="008E1AE3">
        <w:t>where the principal cause has been determined, insolvency account</w:t>
      </w:r>
      <w:r w:rsidR="006B3519">
        <w:t>ed</w:t>
      </w:r>
      <w:r w:rsidRPr="008E1AE3">
        <w:t xml:space="preserve"> for 85% of claims. </w:t>
      </w:r>
    </w:p>
    <w:p w:rsidR="00D631DF" w:rsidRPr="008E1AE3" w:rsidP="00DE3EF5" w14:paraId="0A307159" w14:textId="70F717AF">
      <w:pPr>
        <w:pStyle w:val="ListParagraph"/>
        <w:numPr>
          <w:ilvl w:val="0"/>
          <w:numId w:val="17"/>
        </w:numPr>
        <w:shd w:val="clear" w:color="auto" w:fill="DAEEF3" w:themeFill="accent5" w:themeFillTint="33"/>
        <w:spacing w:line="240" w:lineRule="auto"/>
        <w:ind w:left="357" w:hanging="357"/>
      </w:pPr>
      <w:r w:rsidRPr="008E1AE3">
        <w:t xml:space="preserve">The number of claims </w:t>
      </w:r>
      <w:r w:rsidR="006B3519">
        <w:t xml:space="preserve">lodged </w:t>
      </w:r>
      <w:r w:rsidRPr="008E1AE3" w:rsidR="00D53DB7">
        <w:t>related to more recent certificate issue</w:t>
      </w:r>
      <w:r w:rsidR="00146EAE">
        <w:t>d</w:t>
      </w:r>
      <w:r w:rsidRPr="008E1AE3" w:rsidR="00D53DB7">
        <w:t xml:space="preserve"> years are developing more favo</w:t>
      </w:r>
      <w:r w:rsidR="00C5241C">
        <w:t>u</w:t>
      </w:r>
      <w:r w:rsidRPr="008E1AE3" w:rsidR="00D53DB7">
        <w:t xml:space="preserve">rably than for </w:t>
      </w:r>
      <w:r w:rsidRPr="008E1AE3">
        <w:t xml:space="preserve">the </w:t>
      </w:r>
      <w:r w:rsidRPr="008E1AE3">
        <w:t>2010/11 and 2011/12</w:t>
      </w:r>
      <w:r w:rsidR="00146EAE">
        <w:t xml:space="preserve"> </w:t>
      </w:r>
      <w:r w:rsidR="002B3868">
        <w:t>certificate</w:t>
      </w:r>
      <w:r w:rsidRPr="008E1AE3">
        <w:t xml:space="preserve"> </w:t>
      </w:r>
      <w:r w:rsidRPr="008E1AE3">
        <w:t>issue</w:t>
      </w:r>
      <w:r w:rsidR="00146EAE">
        <w:t>d</w:t>
      </w:r>
      <w:r w:rsidRPr="008E1AE3">
        <w:t xml:space="preserve"> </w:t>
      </w:r>
      <w:r w:rsidRPr="008E1AE3">
        <w:t>years</w:t>
      </w:r>
      <w:r w:rsidRPr="008E1AE3" w:rsidR="00D53DB7">
        <w:t>.</w:t>
      </w:r>
    </w:p>
    <w:p w:rsidR="007232FA" w:rsidRPr="008E1AE3" w:rsidP="00DE3EF5" w14:paraId="46E9BAA8" w14:textId="52549646">
      <w:pPr>
        <w:pStyle w:val="ListParagraph"/>
        <w:numPr>
          <w:ilvl w:val="0"/>
          <w:numId w:val="17"/>
        </w:numPr>
        <w:shd w:val="clear" w:color="auto" w:fill="DAEEF3" w:themeFill="accent5" w:themeFillTint="33"/>
        <w:spacing w:line="240" w:lineRule="auto"/>
        <w:ind w:left="357" w:hanging="357"/>
      </w:pPr>
      <w:r w:rsidRPr="008E1AE3">
        <w:t xml:space="preserve">The number of claims </w:t>
      </w:r>
      <w:r w:rsidR="006B3519">
        <w:t xml:space="preserve">lodged </w:t>
      </w:r>
      <w:r w:rsidRPr="008E1AE3">
        <w:t>relat</w:t>
      </w:r>
      <w:r w:rsidRPr="008E1AE3" w:rsidR="001C519D">
        <w:t>ing</w:t>
      </w:r>
      <w:r w:rsidRPr="008E1AE3">
        <w:t xml:space="preserve"> to </w:t>
      </w:r>
      <w:r w:rsidRPr="008E1AE3" w:rsidR="00025E43">
        <w:t>non-completion develop</w:t>
      </w:r>
      <w:r w:rsidRPr="008E1AE3" w:rsidR="005A6A39">
        <w:t xml:space="preserve"> </w:t>
      </w:r>
      <w:r w:rsidRPr="008E1AE3" w:rsidR="001C519D">
        <w:t>sooner</w:t>
      </w:r>
      <w:r w:rsidRPr="008E1AE3" w:rsidR="005A6A39">
        <w:t xml:space="preserve"> than </w:t>
      </w:r>
      <w:r w:rsidRPr="008E1AE3" w:rsidR="00CD33D2">
        <w:t>defect claims</w:t>
      </w:r>
      <w:r w:rsidRPr="008E1AE3">
        <w:t>.</w:t>
      </w:r>
    </w:p>
    <w:p w:rsidR="00FD159B" w:rsidRPr="008E1AE3" w:rsidP="00DE3EF5" w14:paraId="1750D903" w14:textId="13A1F68C">
      <w:pPr>
        <w:spacing w:before="0" w:after="0" w:line="240" w:lineRule="auto"/>
      </w:pPr>
    </w:p>
    <w:p w:rsidR="0047343B" w:rsidRPr="008E1AE3" w:rsidP="00DE3EF5" w14:paraId="7EDF3B38" w14:textId="070F50A1">
      <w:pPr>
        <w:shd w:val="clear" w:color="auto" w:fill="FDE9D9" w:themeFill="accent6" w:themeFillTint="33"/>
        <w:spacing w:line="240" w:lineRule="auto"/>
        <w:rPr>
          <w:b/>
        </w:rPr>
      </w:pPr>
      <w:r>
        <w:rPr>
          <w:b/>
        </w:rPr>
        <w:t>Care should be taken in interpreting claims data for recent years, as it can take many years for claims related to building defects to emerge, and for the full claim payments and costs to be known.</w:t>
      </w:r>
      <w:r w:rsidRPr="008E1AE3" w:rsidR="00B214E9">
        <w:rPr>
          <w:b/>
        </w:rPr>
        <w:t xml:space="preserve"> </w:t>
      </w:r>
      <w:r w:rsidRPr="008E1AE3">
        <w:rPr>
          <w:b/>
        </w:rPr>
        <w:t>Note:</w:t>
      </w:r>
    </w:p>
    <w:p w:rsidR="00AA3C9A" w:rsidRPr="00DE3EF5" w:rsidP="00DE3EF5" w14:paraId="29DE301F" w14:textId="4858AEA8">
      <w:pPr>
        <w:pStyle w:val="ListParagraph"/>
        <w:numPr>
          <w:ilvl w:val="0"/>
          <w:numId w:val="17"/>
        </w:numPr>
        <w:shd w:val="clear" w:color="auto" w:fill="FDE9D9" w:themeFill="accent6" w:themeFillTint="33"/>
        <w:spacing w:line="240" w:lineRule="auto"/>
        <w:rPr>
          <w:b/>
          <w:bCs/>
          <w:spacing w:val="-4"/>
        </w:rPr>
      </w:pPr>
      <w:r w:rsidRPr="00DE3EF5">
        <w:rPr>
          <w:b/>
          <w:bCs/>
          <w:spacing w:val="-4"/>
        </w:rPr>
        <w:t>The number of claims is also related to the number of certificates issued</w:t>
      </w:r>
      <w:r w:rsidRPr="00DE3EF5" w:rsidR="00B73547">
        <w:rPr>
          <w:b/>
          <w:bCs/>
          <w:spacing w:val="-4"/>
        </w:rPr>
        <w:t>,</w:t>
      </w:r>
      <w:r w:rsidRPr="00DE3EF5">
        <w:rPr>
          <w:b/>
          <w:bCs/>
          <w:spacing w:val="-4"/>
        </w:rPr>
        <w:t xml:space="preserve"> seen in Figure 11 on page 17</w:t>
      </w:r>
      <w:r w:rsidRPr="00DE3EF5" w:rsidR="004C445D">
        <w:rPr>
          <w:b/>
          <w:bCs/>
          <w:spacing w:val="-4"/>
        </w:rPr>
        <w:t xml:space="preserve"> (i.e. the greater the volume of certificates of insurance issued (exposure), the higher the expected number of claims, all else being equal</w:t>
      </w:r>
      <w:r w:rsidRPr="00DE3EF5" w:rsidR="00C15981">
        <w:rPr>
          <w:b/>
          <w:bCs/>
          <w:spacing w:val="-4"/>
        </w:rPr>
        <w:t>)</w:t>
      </w:r>
      <w:r w:rsidRPr="00DE3EF5" w:rsidR="004C445D">
        <w:rPr>
          <w:b/>
          <w:bCs/>
          <w:spacing w:val="-4"/>
        </w:rPr>
        <w:t>.</w:t>
      </w:r>
    </w:p>
    <w:p w:rsidR="0047343B" w:rsidRPr="008E1AE3" w:rsidP="00DE3EF5" w14:paraId="54EFD0C6" w14:textId="4F7DD842">
      <w:pPr>
        <w:pStyle w:val="ListParagraph"/>
        <w:numPr>
          <w:ilvl w:val="0"/>
          <w:numId w:val="17"/>
        </w:numPr>
        <w:shd w:val="clear" w:color="auto" w:fill="FDE9D9" w:themeFill="accent6" w:themeFillTint="33"/>
        <w:spacing w:line="240" w:lineRule="auto"/>
        <w:rPr>
          <w:b/>
          <w:bCs/>
        </w:rPr>
      </w:pPr>
      <w:r w:rsidRPr="008E1AE3">
        <w:rPr>
          <w:b/>
          <w:bCs/>
        </w:rPr>
        <w:t>It is important to consider claim</w:t>
      </w:r>
      <w:r w:rsidR="006B3519">
        <w:rPr>
          <w:b/>
          <w:bCs/>
        </w:rPr>
        <w:t>s</w:t>
      </w:r>
      <w:r w:rsidRPr="008E1AE3">
        <w:rPr>
          <w:b/>
          <w:bCs/>
        </w:rPr>
        <w:t xml:space="preserve"> “emergence / development patterns” when assessing experience. </w:t>
      </w:r>
    </w:p>
    <w:p w:rsidR="00FD159B" w:rsidRPr="008E1AE3" w:rsidP="00DE3EF5" w14:paraId="6A100315" w14:textId="6D936CAC">
      <w:pPr>
        <w:pStyle w:val="ListParagraph"/>
        <w:numPr>
          <w:ilvl w:val="0"/>
          <w:numId w:val="17"/>
        </w:numPr>
        <w:shd w:val="clear" w:color="auto" w:fill="FDE9D9" w:themeFill="accent6" w:themeFillTint="33"/>
        <w:spacing w:line="240" w:lineRule="auto"/>
        <w:rPr>
          <w:b/>
          <w:bCs/>
        </w:rPr>
      </w:pPr>
      <w:r w:rsidRPr="008E1AE3">
        <w:rPr>
          <w:b/>
          <w:bCs/>
        </w:rPr>
        <w:t>Defect claims have a longer “emergence / development pattern” than non-completion claims.</w:t>
      </w:r>
    </w:p>
    <w:p w:rsidR="00392D44" w:rsidRPr="00EA31DA" w:rsidP="00DE3EF5" w14:paraId="628F8602" w14:textId="056D727F">
      <w:pPr>
        <w:pStyle w:val="ListParagraph"/>
        <w:numPr>
          <w:ilvl w:val="0"/>
          <w:numId w:val="17"/>
        </w:numPr>
        <w:shd w:val="clear" w:color="auto" w:fill="FDE9D9" w:themeFill="accent6" w:themeFillTint="33"/>
        <w:spacing w:after="0" w:line="240" w:lineRule="auto"/>
        <w:ind w:left="357" w:hanging="357"/>
        <w:rPr>
          <w:b/>
          <w:bCs/>
        </w:rPr>
      </w:pPr>
      <w:r w:rsidRPr="00EA31DA">
        <w:rPr>
          <w:b/>
          <w:bCs/>
        </w:rPr>
        <w:t xml:space="preserve">The </w:t>
      </w:r>
      <w:r w:rsidRPr="00EA31DA" w:rsidR="00FD2443">
        <w:rPr>
          <w:b/>
          <w:bCs/>
        </w:rPr>
        <w:t xml:space="preserve">notifications </w:t>
      </w:r>
      <w:r w:rsidRPr="00EA31DA" w:rsidR="006B3AB8">
        <w:rPr>
          <w:b/>
          <w:bCs/>
        </w:rPr>
        <w:t xml:space="preserve">of loss </w:t>
      </w:r>
      <w:r w:rsidRPr="00EA31DA" w:rsidR="00FD2443">
        <w:rPr>
          <w:b/>
          <w:bCs/>
        </w:rPr>
        <w:t xml:space="preserve">and </w:t>
      </w:r>
      <w:r w:rsidRPr="00EA31DA">
        <w:rPr>
          <w:b/>
          <w:bCs/>
        </w:rPr>
        <w:t xml:space="preserve">claims </w:t>
      </w:r>
      <w:r w:rsidRPr="00EA31DA" w:rsidR="006B3AB8">
        <w:rPr>
          <w:b/>
          <w:bCs/>
        </w:rPr>
        <w:t xml:space="preserve">lodged </w:t>
      </w:r>
      <w:r w:rsidRPr="00EA31DA">
        <w:rPr>
          <w:b/>
          <w:bCs/>
        </w:rPr>
        <w:t xml:space="preserve">in this section relate to policies issued from </w:t>
      </w:r>
      <w:r w:rsidRPr="00EA31DA" w:rsidR="003710C5">
        <w:rPr>
          <w:b/>
          <w:bCs/>
        </w:rPr>
        <w:t>1</w:t>
      </w:r>
      <w:r w:rsidRPr="00EA31DA">
        <w:rPr>
          <w:b/>
          <w:bCs/>
        </w:rPr>
        <w:t xml:space="preserve"> July 2010. </w:t>
      </w:r>
    </w:p>
    <w:p w:rsidR="00720E85" w:rsidP="00291F62" w14:paraId="08111625" w14:textId="77777777">
      <w:pPr>
        <w:spacing w:before="0" w:after="0"/>
      </w:pPr>
      <w:bookmarkStart w:id="266" w:name="_Toc4485217"/>
      <w:bookmarkStart w:id="267" w:name="_Toc4483526"/>
    </w:p>
    <w:p w:rsidR="00E33266" w:rsidRPr="00DD2EC9" w:rsidP="003F2296" w14:paraId="10DDD568" w14:textId="65A5844E">
      <w:pPr>
        <w:spacing w:before="0"/>
      </w:pPr>
      <w:bookmarkStart w:id="268" w:name="OLE_LINK1"/>
      <w:bookmarkEnd w:id="266"/>
      <w:bookmarkEnd w:id="267"/>
      <w:r>
        <w:rPr>
          <w:rFonts w:eastAsiaTheme="minorEastAsia"/>
        </w:rPr>
        <w:t xml:space="preserve">Home owners can notify their insurer that they have suffered a loss </w:t>
      </w:r>
      <w:r w:rsidR="00B37C49">
        <w:rPr>
          <w:rFonts w:eastAsiaTheme="minorEastAsia"/>
        </w:rPr>
        <w:t xml:space="preserve">in order to preserve their ability to claim </w:t>
      </w:r>
      <w:r w:rsidR="00572399">
        <w:rPr>
          <w:rFonts w:eastAsiaTheme="minorEastAsia"/>
        </w:rPr>
        <w:t xml:space="preserve">beyond the period of insurance </w:t>
      </w:r>
      <w:r w:rsidR="00B37C49">
        <w:rPr>
          <w:rFonts w:eastAsiaTheme="minorEastAsia"/>
        </w:rPr>
        <w:t>in some circumstances</w:t>
      </w:r>
      <w:r w:rsidR="00682C47">
        <w:rPr>
          <w:rFonts w:eastAsiaTheme="minorEastAsia"/>
        </w:rPr>
        <w:t>.</w:t>
      </w:r>
      <w:r w:rsidR="00572399">
        <w:rPr>
          <w:rFonts w:eastAsiaTheme="minorEastAsia"/>
        </w:rPr>
        <w:t xml:space="preserve"> </w:t>
      </w:r>
      <w:r w:rsidRPr="00DD2EC9" w:rsidR="0051217C">
        <w:rPr>
          <w:rFonts w:eastAsiaTheme="minorEastAsia"/>
        </w:rPr>
        <w:t xml:space="preserve">Note that </w:t>
      </w:r>
      <w:r w:rsidRPr="00DD2EC9" w:rsidR="00140C09">
        <w:rPr>
          <w:rFonts w:eastAsiaTheme="minorEastAsia"/>
        </w:rPr>
        <w:t xml:space="preserve">not </w:t>
      </w:r>
      <w:r w:rsidRPr="00DD2EC9" w:rsidR="00A55E43">
        <w:rPr>
          <w:rFonts w:eastAsiaTheme="minorEastAsia"/>
        </w:rPr>
        <w:t xml:space="preserve">all notifications </w:t>
      </w:r>
      <w:r w:rsidRPr="00DD2EC9" w:rsidR="00140C09">
        <w:t xml:space="preserve">of loss </w:t>
      </w:r>
      <w:r w:rsidRPr="00DD2EC9" w:rsidR="00A55E43">
        <w:rPr>
          <w:rFonts w:eastAsiaTheme="minorEastAsia"/>
        </w:rPr>
        <w:t xml:space="preserve">necessarily progress to become a </w:t>
      </w:r>
      <w:r w:rsidRPr="00DD2EC9" w:rsidR="00F835AE">
        <w:rPr>
          <w:rFonts w:eastAsiaTheme="minorEastAsia"/>
        </w:rPr>
        <w:t xml:space="preserve">claim </w:t>
      </w:r>
      <w:r w:rsidRPr="00DD2EC9" w:rsidR="00A55E43">
        <w:rPr>
          <w:rFonts w:eastAsiaTheme="minorEastAsia"/>
        </w:rPr>
        <w:t xml:space="preserve">lodged. </w:t>
      </w:r>
      <w:r w:rsidRPr="00DD2EC9" w:rsidR="0051217C">
        <w:rPr>
          <w:rFonts w:eastAsiaTheme="minorEastAsia"/>
        </w:rPr>
        <w:t xml:space="preserve">Notifications </w:t>
      </w:r>
      <w:r w:rsidRPr="00DD2EC9" w:rsidR="00140C09">
        <w:t xml:space="preserve">of loss </w:t>
      </w:r>
      <w:r w:rsidRPr="00DD2EC9" w:rsidR="0051217C">
        <w:rPr>
          <w:rFonts w:eastAsiaTheme="minorEastAsia"/>
        </w:rPr>
        <w:t xml:space="preserve">can be finalised </w:t>
      </w:r>
      <w:r w:rsidRPr="00DD2EC9" w:rsidR="00A55E43">
        <w:rPr>
          <w:rFonts w:eastAsiaTheme="minorEastAsia"/>
        </w:rPr>
        <w:t>with no claim lodgement</w:t>
      </w:r>
      <w:r w:rsidRPr="00DD2EC9" w:rsidR="00140C09">
        <w:t>, for example if a home owner succeeds in obtaining remedy from their builder while they are still solvent.</w:t>
      </w:r>
    </w:p>
    <w:p w:rsidR="00A55E43" w:rsidP="00A55E43" w14:paraId="6BB4E905" w14:textId="6CF8F6D9">
      <w:bookmarkStart w:id="269" w:name="_Hlk8988902"/>
      <w:bookmarkStart w:id="270" w:name="_Hlk5875436"/>
      <w:r w:rsidRPr="00DD2EC9">
        <w:t>Apart from Figure 15</w:t>
      </w:r>
      <w:r w:rsidRPr="00DD2EC9" w:rsidR="00A84B30">
        <w:t xml:space="preserve"> </w:t>
      </w:r>
      <w:r w:rsidRPr="00DD2EC9" w:rsidR="00363B0B">
        <w:t>which relates</w:t>
      </w:r>
      <w:r w:rsidRPr="00DD2EC9" w:rsidR="00A84B30">
        <w:t xml:space="preserve"> to </w:t>
      </w:r>
      <w:r w:rsidRPr="00DD2EC9" w:rsidR="00BE3359">
        <w:t>n</w:t>
      </w:r>
      <w:r w:rsidRPr="00DD2EC9" w:rsidR="00A84B30">
        <w:t>otifications</w:t>
      </w:r>
      <w:r w:rsidRPr="00DD2EC9" w:rsidR="00BE3359">
        <w:t xml:space="preserve"> of loss</w:t>
      </w:r>
      <w:r w:rsidRPr="00DD2EC9" w:rsidR="006465E6">
        <w:t xml:space="preserve"> (including notifications </w:t>
      </w:r>
      <w:r w:rsidRPr="003A2365" w:rsidR="006465E6">
        <w:t>o</w:t>
      </w:r>
      <w:r w:rsidRPr="00947962" w:rsidR="006465E6">
        <w:t>f lo</w:t>
      </w:r>
      <w:r w:rsidRPr="00BC36EA" w:rsidR="006465E6">
        <w:t xml:space="preserve">ss which </w:t>
      </w:r>
      <w:r w:rsidRPr="00B17B74" w:rsidR="006465E6">
        <w:t>ha</w:t>
      </w:r>
      <w:r w:rsidRPr="00DD2EC9" w:rsidR="006465E6">
        <w:t xml:space="preserve">ve </w:t>
      </w:r>
      <w:r w:rsidRPr="00DD2EC9" w:rsidR="006465E6">
        <w:rPr>
          <w:rFonts w:eastAsiaTheme="minorEastAsia"/>
        </w:rPr>
        <w:t xml:space="preserve">progressed to become </w:t>
      </w:r>
      <w:r w:rsidR="00F835AE">
        <w:rPr>
          <w:rFonts w:eastAsiaTheme="minorEastAsia"/>
        </w:rPr>
        <w:t xml:space="preserve">a </w:t>
      </w:r>
      <w:r w:rsidRPr="00DD2EC9" w:rsidR="00026CBA">
        <w:rPr>
          <w:rFonts w:eastAsiaTheme="minorEastAsia"/>
        </w:rPr>
        <w:t>claim</w:t>
      </w:r>
      <w:r w:rsidR="00F835AE">
        <w:rPr>
          <w:rFonts w:eastAsiaTheme="minorEastAsia"/>
        </w:rPr>
        <w:t xml:space="preserve"> lodged</w:t>
      </w:r>
      <w:r w:rsidRPr="00DD2EC9" w:rsidR="006465E6">
        <w:rPr>
          <w:rFonts w:eastAsiaTheme="minorEastAsia"/>
        </w:rPr>
        <w:t>)</w:t>
      </w:r>
      <w:r w:rsidRPr="00DD2EC9">
        <w:t xml:space="preserve">, all figures in this section </w:t>
      </w:r>
      <w:r w:rsidR="00785ED5">
        <w:t>of the scheme report</w:t>
      </w:r>
      <w:r w:rsidRPr="00DD2EC9" w:rsidR="00785ED5">
        <w:t xml:space="preserve"> </w:t>
      </w:r>
      <w:r w:rsidRPr="00DD2EC9">
        <w:t xml:space="preserve">relate </w:t>
      </w:r>
      <w:r w:rsidRPr="00DD2EC9" w:rsidR="00026CBA">
        <w:t>only</w:t>
      </w:r>
      <w:r w:rsidR="00F835AE">
        <w:t xml:space="preserve"> </w:t>
      </w:r>
      <w:r w:rsidRPr="00DD2EC9">
        <w:t xml:space="preserve">to </w:t>
      </w:r>
      <w:bookmarkStart w:id="271" w:name="_Hlk8988112"/>
      <w:r w:rsidRPr="00DD2EC9">
        <w:t xml:space="preserve">claims </w:t>
      </w:r>
      <w:r w:rsidRPr="00DD2EC9" w:rsidR="00026CBA">
        <w:t>lodged</w:t>
      </w:r>
      <w:r w:rsidRPr="00DD2EC9" w:rsidR="0040699E">
        <w:t xml:space="preserve"> based on year of notification of loss</w:t>
      </w:r>
      <w:bookmarkEnd w:id="271"/>
      <w:r w:rsidRPr="00DD2EC9">
        <w:t>.</w:t>
      </w:r>
      <w:r w:rsidRPr="005937AC">
        <w:t xml:space="preserve"> </w:t>
      </w:r>
    </w:p>
    <w:p w:rsidR="009551A9" w:rsidP="009551A9" w14:paraId="011EFD54" w14:textId="49B7666E">
      <w:bookmarkStart w:id="272" w:name="OLE_LINK2"/>
      <w:bookmarkStart w:id="273" w:name="OLE_LINK6"/>
      <w:bookmarkEnd w:id="268"/>
      <w:bookmarkEnd w:id="269"/>
      <w:r>
        <w:t>Note that t</w:t>
      </w:r>
      <w:r>
        <w:t xml:space="preserve">he count of the number of </w:t>
      </w:r>
      <w:r w:rsidR="00026CBA">
        <w:t xml:space="preserve">claims </w:t>
      </w:r>
      <w:r>
        <w:t xml:space="preserve">lodged </w:t>
      </w:r>
      <w:r>
        <w:t>is determined by their recorded liability status as at the current reporting date of 30 June 2018</w:t>
      </w:r>
      <w:r w:rsidR="007F1477">
        <w:t xml:space="preserve">. </w:t>
      </w:r>
      <w:r w:rsidR="00804B8F">
        <w:t xml:space="preserve">At </w:t>
      </w:r>
      <w:r w:rsidR="00720E85">
        <w:t xml:space="preserve">a </w:t>
      </w:r>
      <w:r w:rsidR="00804B8F">
        <w:t xml:space="preserve">subsequent </w:t>
      </w:r>
      <w:r w:rsidRPr="00026CBA" w:rsidR="00804B8F">
        <w:t>reporting date</w:t>
      </w:r>
      <w:r w:rsidR="00804B8F">
        <w:t>, say as at 3</w:t>
      </w:r>
      <w:r w:rsidR="00BC36EA">
        <w:t>0</w:t>
      </w:r>
      <w:r w:rsidR="00804B8F">
        <w:t xml:space="preserve"> </w:t>
      </w:r>
      <w:r w:rsidR="00BC36EA">
        <w:t xml:space="preserve">June </w:t>
      </w:r>
      <w:r w:rsidR="00804B8F">
        <w:t>201</w:t>
      </w:r>
      <w:r w:rsidR="00BC36EA">
        <w:t>9</w:t>
      </w:r>
      <w:r w:rsidR="00804B8F">
        <w:t>, t</w:t>
      </w:r>
      <w:r>
        <w:t xml:space="preserve">he recorded liability status of some notifications of loss may change as they progressed to become </w:t>
      </w:r>
      <w:r w:rsidR="00026CBA">
        <w:t xml:space="preserve">claims </w:t>
      </w:r>
      <w:r>
        <w:t>lodged</w:t>
      </w:r>
      <w:r>
        <w:t>, due to changes in the liability decision by the insurer.</w:t>
      </w:r>
      <w:r w:rsidR="00720E85">
        <w:t xml:space="preserve"> This would result in a different count of number of claims lodged compared to the historical data for past quarters as reported in the 30 June 2018 report, particularly for more recent quarters.</w:t>
      </w:r>
      <w:bookmarkEnd w:id="272"/>
    </w:p>
    <w:p w:rsidR="007C58FA" w:rsidRPr="008E1AE3" w:rsidP="002574E3" w14:paraId="2D4557E2" w14:textId="192CF52D">
      <w:pPr>
        <w:pStyle w:val="Heading3"/>
      </w:pPr>
      <w:bookmarkStart w:id="274" w:name="_Toc15488356"/>
      <w:bookmarkStart w:id="275" w:name="_Toc4483527"/>
      <w:bookmarkStart w:id="276" w:name="_Toc4485218"/>
      <w:bookmarkStart w:id="277" w:name="_Ref4130809"/>
      <w:bookmarkEnd w:id="270"/>
      <w:bookmarkEnd w:id="273"/>
      <w:r w:rsidRPr="008E1AE3">
        <w:t xml:space="preserve">Number of </w:t>
      </w:r>
      <w:r w:rsidRPr="008E1AE3" w:rsidR="001255DA">
        <w:t xml:space="preserve">notifications </w:t>
      </w:r>
      <w:r w:rsidR="001255DA">
        <w:t>of loss</w:t>
      </w:r>
      <w:r w:rsidRPr="008E1AE3" w:rsidR="001255DA">
        <w:t xml:space="preserve"> </w:t>
      </w:r>
      <w:r w:rsidR="001255DA">
        <w:t xml:space="preserve">and </w:t>
      </w:r>
      <w:r w:rsidRPr="008E1AE3">
        <w:t xml:space="preserve">claims </w:t>
      </w:r>
      <w:r w:rsidR="00140C09">
        <w:t>lodged</w:t>
      </w:r>
      <w:bookmarkEnd w:id="274"/>
      <w:bookmarkEnd w:id="275"/>
      <w:bookmarkEnd w:id="276"/>
    </w:p>
    <w:p w:rsidR="00917289" w:rsidRPr="008E1AE3" w:rsidP="00917289" w14:paraId="53DCF959" w14:textId="63C3B299">
      <w:pPr>
        <w:pStyle w:val="Figures"/>
      </w:pPr>
      <w:r w:rsidRPr="008E1AE3">
        <w:t xml:space="preserve">Figure </w:t>
      </w:r>
      <w:r w:rsidRPr="008E1AE3">
        <w:fldChar w:fldCharType="begin"/>
      </w:r>
      <w:r w:rsidRPr="008E1AE3">
        <w:instrText xml:space="preserve"> SEQ Figure \* ARABIC </w:instrText>
      </w:r>
      <w:r w:rsidRPr="008E1AE3">
        <w:fldChar w:fldCharType="separate"/>
      </w:r>
      <w:r w:rsidR="00363D25">
        <w:t>15</w:t>
      </w:r>
      <w:r w:rsidRPr="008E1AE3">
        <w:fldChar w:fldCharType="end"/>
      </w:r>
      <w:bookmarkEnd w:id="277"/>
      <w:r w:rsidRPr="008E1AE3">
        <w:t xml:space="preserve">: Number of </w:t>
      </w:r>
      <w:r w:rsidRPr="008E1AE3" w:rsidR="00AF4D6F">
        <w:t>notifications</w:t>
      </w:r>
      <w:r w:rsidRPr="004E3FEB" w:rsidR="004E3FEB">
        <w:t xml:space="preserve"> of loss</w:t>
      </w:r>
      <w:r w:rsidRPr="008E1AE3">
        <w:t xml:space="preserve"> reported by year</w:t>
      </w:r>
    </w:p>
    <w:p w:rsidR="008438BA" w:rsidRPr="008E1AE3" w:rsidP="006307F2" w14:paraId="7D407DF8" w14:textId="5B81E7BA">
      <w:pPr>
        <w:spacing w:after="480"/>
      </w:pPr>
      <w:r>
        <w:rPr>
          <w:noProof/>
        </w:rPr>
        <w:drawing>
          <wp:inline distT="0" distB="0" distL="0" distR="0">
            <wp:extent cx="5842000" cy="3533135"/>
            <wp:effectExtent l="0" t="0" r="6350" b="0"/>
            <wp:docPr id="22" name="Picture 22" descr="This chart shows the number of notifications of loss reported by year from 2011/12 to 2017/18. &#10;&#10;The number of notifications has increased from 779 in 2011/12 to 1,268 and 1,078 respectively in 2016/17 and 2017/18.&#10;&#10;" title="Number of notifications of loss reported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140702" name="Picture 10"/>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5847438" cy="3536424"/>
                    </a:xfrm>
                    <a:prstGeom prst="rect">
                      <a:avLst/>
                    </a:prstGeom>
                    <a:noFill/>
                  </pic:spPr>
                </pic:pic>
              </a:graphicData>
            </a:graphic>
          </wp:inline>
        </w:drawing>
      </w:r>
    </w:p>
    <w:p w:rsidR="00EC2452" w:rsidRPr="008E1AE3" w:rsidP="00EC2452" w14:paraId="0E4C1F79" w14:textId="6A6E46DD">
      <w:pPr>
        <w:pStyle w:val="Figures"/>
      </w:pPr>
      <w:bookmarkStart w:id="278" w:name="_Ref4130944"/>
      <w:r w:rsidRPr="008E1AE3">
        <w:t xml:space="preserve">Figure </w:t>
      </w:r>
      <w:r w:rsidRPr="008E1AE3">
        <w:fldChar w:fldCharType="begin"/>
      </w:r>
      <w:r w:rsidRPr="008E1AE3">
        <w:instrText xml:space="preserve"> SEQ Figure \* ARABIC </w:instrText>
      </w:r>
      <w:r w:rsidRPr="008E1AE3">
        <w:fldChar w:fldCharType="separate"/>
      </w:r>
      <w:r w:rsidR="00363D25">
        <w:t>16</w:t>
      </w:r>
      <w:r w:rsidRPr="008E1AE3">
        <w:fldChar w:fldCharType="end"/>
      </w:r>
      <w:bookmarkEnd w:id="278"/>
      <w:r w:rsidRPr="008E1AE3">
        <w:t xml:space="preserve">: Number of claims </w:t>
      </w:r>
      <w:r w:rsidR="00EF040C">
        <w:t>lodged</w:t>
      </w:r>
      <w:r w:rsidRPr="008E1AE3" w:rsidR="00EF040C">
        <w:t xml:space="preserve"> </w:t>
      </w:r>
      <w:r w:rsidRPr="008E1AE3">
        <w:t>by year</w:t>
      </w:r>
    </w:p>
    <w:p w:rsidR="00862053" w:rsidRPr="008E1AE3" w:rsidP="00862053" w14:paraId="7CC94445" w14:textId="7D0E8B35">
      <w:r>
        <w:rPr>
          <w:noProof/>
        </w:rPr>
        <w:drawing>
          <wp:inline distT="0" distB="0" distL="0" distR="0">
            <wp:extent cx="5963805" cy="3606800"/>
            <wp:effectExtent l="0" t="0" r="0" b="0"/>
            <wp:docPr id="27" name="Picture 27" descr="This chart shows the number of claims lodged by year of notification from 2011/12 to 2017/18. &#10;&#10;The number of claims increased steadily from 288 in 2013/14 to 500 in 2016/17 then dropped to 316 in2017/18.&#10;was about 320, a fall of 37% from 2016/17.&#10;" title="Number of claims lodged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642902" name="Picture 11"/>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5965962" cy="3608105"/>
                    </a:xfrm>
                    <a:prstGeom prst="rect">
                      <a:avLst/>
                    </a:prstGeom>
                    <a:noFill/>
                  </pic:spPr>
                </pic:pic>
              </a:graphicData>
            </a:graphic>
          </wp:inline>
        </w:drawing>
      </w:r>
    </w:p>
    <w:p w:rsidR="00D5428F" w:rsidRPr="008E1AE3" w:rsidP="00D5428F" w14:paraId="2704DBE3" w14:textId="1DF925F1">
      <w:pPr>
        <w:pStyle w:val="Figures"/>
      </w:pPr>
      <w:r w:rsidRPr="008E1AE3">
        <w:t xml:space="preserve">Figure </w:t>
      </w:r>
      <w:r w:rsidRPr="008E1AE3">
        <w:fldChar w:fldCharType="begin"/>
      </w:r>
      <w:r w:rsidRPr="008E1AE3">
        <w:instrText xml:space="preserve"> SEQ Figure \* ARABIC </w:instrText>
      </w:r>
      <w:r w:rsidRPr="008E1AE3">
        <w:fldChar w:fldCharType="separate"/>
      </w:r>
      <w:r w:rsidR="00363D25">
        <w:t>17</w:t>
      </w:r>
      <w:r w:rsidRPr="008E1AE3">
        <w:fldChar w:fldCharType="end"/>
      </w:r>
      <w:r w:rsidRPr="008E1AE3">
        <w:t xml:space="preserve">: Number of claims </w:t>
      </w:r>
      <w:r w:rsidRPr="00C14576" w:rsidR="00C14576">
        <w:t xml:space="preserve">lodged </w:t>
      </w:r>
      <w:r w:rsidRPr="008E1AE3">
        <w:t>by year and claim status</w:t>
      </w:r>
      <w:r w:rsidR="0090777F">
        <w:t xml:space="preserve"> as at 30 June 2018</w:t>
      </w:r>
    </w:p>
    <w:p w:rsidR="00D5428F" w:rsidRPr="008E1AE3" w:rsidP="006307F2" w14:paraId="0A19E2F9" w14:textId="5AC914F7">
      <w:pPr>
        <w:spacing w:after="480"/>
      </w:pPr>
      <w:r>
        <w:rPr>
          <w:noProof/>
        </w:rPr>
        <w:drawing>
          <wp:inline distT="0" distB="0" distL="0" distR="0">
            <wp:extent cx="6108700" cy="3688715"/>
            <wp:effectExtent l="0" t="0" r="6350" b="6985"/>
            <wp:docPr id="452709542" name="Picture 452709542" descr="Number of claims lodged by year and claim status as at 30 June 2018&#10;&#10;This chart shows the number of claims lodged by year from 2011/12 to 2017/18 and the status of those claims as at 30 June 2018. &#10;&#10;Up to 98% of claims lodged from 2011/12 to 2013/14 are ‘closed’.  &#10;&#10;A larger proportion, but still a minority, of claims remain open for claims lodged in 2014/15 to 2016/17. Whereas for claims lodged in 2017/18, nearly two-thirds remain open as at 30 June 20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843838" name="Picture 10"/>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0" y="0"/>
                      <a:ext cx="6108700" cy="3688715"/>
                    </a:xfrm>
                    <a:prstGeom prst="rect">
                      <a:avLst/>
                    </a:prstGeom>
                    <a:noFill/>
                  </pic:spPr>
                </pic:pic>
              </a:graphicData>
            </a:graphic>
          </wp:inline>
        </w:drawing>
      </w:r>
    </w:p>
    <w:p w:rsidR="003665AE" w:rsidRPr="008E1AE3" w:rsidP="003665AE" w14:paraId="628AC6EB" w14:textId="6A457BAC">
      <w:pPr>
        <w:pStyle w:val="Figures"/>
      </w:pPr>
      <w:r w:rsidRPr="008E1AE3">
        <w:t xml:space="preserve">Figure </w:t>
      </w:r>
      <w:r w:rsidRPr="008E1AE3">
        <w:fldChar w:fldCharType="begin"/>
      </w:r>
      <w:r w:rsidRPr="008E1AE3">
        <w:instrText xml:space="preserve"> SEQ Figure \* ARABIC </w:instrText>
      </w:r>
      <w:r w:rsidRPr="008E1AE3">
        <w:fldChar w:fldCharType="separate"/>
      </w:r>
      <w:r w:rsidR="00363D25">
        <w:t>18</w:t>
      </w:r>
      <w:r w:rsidRPr="008E1AE3">
        <w:fldChar w:fldCharType="end"/>
      </w:r>
      <w:r w:rsidRPr="008E1AE3">
        <w:t xml:space="preserve">: Number of claims </w:t>
      </w:r>
      <w:r w:rsidRPr="00C14576" w:rsidR="00C14576">
        <w:t xml:space="preserve">lodged </w:t>
      </w:r>
      <w:r w:rsidRPr="008E1AE3">
        <w:t>by year and liability status</w:t>
      </w:r>
    </w:p>
    <w:p w:rsidR="003665AE" w:rsidRPr="008E1AE3" w:rsidP="003665AE" w14:paraId="00FE21C2" w14:textId="08D9F23F">
      <w:r>
        <w:rPr>
          <w:noProof/>
        </w:rPr>
        <w:drawing>
          <wp:inline distT="0" distB="0" distL="0" distR="0">
            <wp:extent cx="6108700" cy="3694430"/>
            <wp:effectExtent l="0" t="0" r="6350" b="1270"/>
            <wp:docPr id="452709553" name="Picture 452709553" descr="This chart shows the number of claims lodged by year and liability status. &#10;&#10;Overall from 2011/12 to 2016/17, 79% and 19% of claims have ‘liability accepted’ and ‘liability denied’ status respectively. &#10;&#10;In 2017/18, 54% of claims have ‘liability accepted’ status and one-third of claims under ‘liability being assessed’&#10;" title="Number of claims lodged by year and liability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561472" name="Picture 12"/>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6108700" cy="3694430"/>
                    </a:xfrm>
                    <a:prstGeom prst="rect">
                      <a:avLst/>
                    </a:prstGeom>
                    <a:noFill/>
                  </pic:spPr>
                </pic:pic>
              </a:graphicData>
            </a:graphic>
          </wp:inline>
        </w:drawing>
      </w:r>
    </w:p>
    <w:p w:rsidR="00D5428F" w:rsidRPr="008E1AE3" w:rsidP="00D5428F" w14:paraId="4816ABAD" w14:textId="60D41348">
      <w:pPr>
        <w:pStyle w:val="Figures"/>
      </w:pPr>
      <w:r w:rsidRPr="008E1AE3">
        <w:t xml:space="preserve">Figure </w:t>
      </w:r>
      <w:r w:rsidRPr="008E1AE3">
        <w:fldChar w:fldCharType="begin"/>
      </w:r>
      <w:r w:rsidRPr="008E1AE3">
        <w:instrText xml:space="preserve"> SEQ Figure \* ARABIC </w:instrText>
      </w:r>
      <w:r w:rsidRPr="008E1AE3">
        <w:fldChar w:fldCharType="separate"/>
      </w:r>
      <w:r w:rsidR="00363D25">
        <w:t>19</w:t>
      </w:r>
      <w:r w:rsidRPr="008E1AE3">
        <w:fldChar w:fldCharType="end"/>
      </w:r>
      <w:r w:rsidRPr="008E1AE3">
        <w:t xml:space="preserve">: Number of claims </w:t>
      </w:r>
      <w:r w:rsidRPr="00AF4C74" w:rsidR="00AF4C74">
        <w:t xml:space="preserve">lodged </w:t>
      </w:r>
      <w:r w:rsidRPr="008E1AE3">
        <w:t>where liablity has been denied by year and reason denied</w:t>
      </w:r>
    </w:p>
    <w:p w:rsidR="003930C6" w:rsidRPr="008E1AE3" w:rsidP="006307F2" w14:paraId="3AFA8811" w14:textId="0244D1C1">
      <w:pPr>
        <w:spacing w:after="480"/>
      </w:pPr>
      <w:r>
        <w:rPr>
          <w:noProof/>
        </w:rPr>
        <w:drawing>
          <wp:inline distT="0" distB="0" distL="0" distR="0">
            <wp:extent cx="6108700" cy="3670300"/>
            <wp:effectExtent l="0" t="0" r="6350" b="6350"/>
            <wp:docPr id="452709554" name="Picture 452709554" descr="This chart shows the number of claims lodged where liability has been denied by year and reason denied from 2011/12 to 2017/18. &#10;&#10;Overall for the period from 2011/12 to 2017/18, ‘builder not insolvent’ and ‘not deemed a defect’ were the main reasons for claims being denied, contributing 44% and 28% respectively of denied claims. &#10;&#10;‘Out of time’ and ‘builder found’ accounted for a further 16% and 8% respectively of denied claims. &#10;" title="Number of claims lodged where liability has been denied by year and reason den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925157" name="Picture 13"/>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6108700" cy="3670300"/>
                    </a:xfrm>
                    <a:prstGeom prst="rect">
                      <a:avLst/>
                    </a:prstGeom>
                    <a:noFill/>
                  </pic:spPr>
                </pic:pic>
              </a:graphicData>
            </a:graphic>
          </wp:inline>
        </w:drawing>
      </w:r>
    </w:p>
    <w:p w:rsidR="00674711" w:rsidRPr="008E1AE3" w:rsidP="00674711" w14:paraId="2E8B3399" w14:textId="3C50CAFD">
      <w:pPr>
        <w:pStyle w:val="Figures"/>
      </w:pPr>
      <w:bookmarkStart w:id="279" w:name="_Ref3546646"/>
      <w:bookmarkStart w:id="280" w:name="_Ref531269821"/>
      <w:r w:rsidRPr="008E1AE3">
        <w:t xml:space="preserve">Figure </w:t>
      </w:r>
      <w:r w:rsidRPr="008E1AE3">
        <w:fldChar w:fldCharType="begin"/>
      </w:r>
      <w:r w:rsidRPr="008E1AE3">
        <w:instrText xml:space="preserve"> SEQ Figure \* ARABIC </w:instrText>
      </w:r>
      <w:r w:rsidRPr="008E1AE3">
        <w:fldChar w:fldCharType="separate"/>
      </w:r>
      <w:r w:rsidR="00363D25">
        <w:t>20</w:t>
      </w:r>
      <w:r w:rsidRPr="008E1AE3">
        <w:fldChar w:fldCharType="end"/>
      </w:r>
      <w:bookmarkEnd w:id="279"/>
      <w:r w:rsidRPr="008E1AE3">
        <w:t xml:space="preserve">: Number of claims </w:t>
      </w:r>
      <w:r w:rsidRPr="00AF4C74" w:rsidR="00AF4C74">
        <w:t xml:space="preserve">lodged </w:t>
      </w:r>
      <w:r w:rsidRPr="008E1AE3" w:rsidR="00A503F4">
        <w:t xml:space="preserve">by year and </w:t>
      </w:r>
      <w:r w:rsidRPr="008E1AE3" w:rsidR="000F06B9">
        <w:t>principal cause</w:t>
      </w:r>
    </w:p>
    <w:p w:rsidR="00C25BAB" w:rsidRPr="008E1AE3" w:rsidP="00B51412" w14:paraId="511BA670" w14:textId="733160A7">
      <w:r>
        <w:rPr>
          <w:noProof/>
        </w:rPr>
        <w:drawing>
          <wp:inline distT="0" distB="0" distL="0" distR="0">
            <wp:extent cx="6090285" cy="3657600"/>
            <wp:effectExtent l="0" t="0" r="5715" b="0"/>
            <wp:docPr id="452709555" name="Picture 452709555" descr="This chart shows the number of claims lodged by year and principal cause from 2011/12 to 2017/18. &#10;&#10;Overall for the period from 2011/12 to 2017/18, insolvency accounted for 86% of reported claims. ‘Cause not yet determined/not specified’ together with ‘licence suspension (NCAT)’ accounted for a further 10% of the claims.&#10;" title="Number of claims lodged by year and principal c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378511" name="Picture 14"/>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bwMode="auto">
                    <a:xfrm>
                      <a:off x="0" y="0"/>
                      <a:ext cx="6090285" cy="3657600"/>
                    </a:xfrm>
                    <a:prstGeom prst="rect">
                      <a:avLst/>
                    </a:prstGeom>
                    <a:noFill/>
                  </pic:spPr>
                </pic:pic>
              </a:graphicData>
            </a:graphic>
          </wp:inline>
        </w:drawing>
      </w:r>
    </w:p>
    <w:p w:rsidR="009970A1" w:rsidRPr="008E1AE3" w:rsidP="00243C87" w14:paraId="382A7BCA" w14:textId="7A9AEE23">
      <w:pPr>
        <w:tabs>
          <w:tab w:val="left" w:pos="1296"/>
        </w:tabs>
        <w:spacing w:before="840"/>
      </w:pPr>
      <w:bookmarkStart w:id="281" w:name="_Toc531180090"/>
      <w:bookmarkStart w:id="282" w:name="_Toc531181929"/>
      <w:bookmarkStart w:id="283" w:name="_Toc530651488"/>
      <w:bookmarkStart w:id="284" w:name="_Toc530663765"/>
      <w:bookmarkStart w:id="285" w:name="_Toc530672078"/>
      <w:bookmarkStart w:id="286" w:name="_Toc530672520"/>
      <w:bookmarkStart w:id="287" w:name="_Toc530674186"/>
      <w:bookmarkEnd w:id="280"/>
      <w:bookmarkEnd w:id="281"/>
      <w:bookmarkEnd w:id="282"/>
      <w:bookmarkEnd w:id="283"/>
      <w:bookmarkEnd w:id="284"/>
      <w:bookmarkEnd w:id="285"/>
      <w:bookmarkEnd w:id="286"/>
      <w:bookmarkEnd w:id="287"/>
      <w:r>
        <w:t>Claims where the cause is n</w:t>
      </w:r>
      <w:r w:rsidRPr="008E1AE3" w:rsidR="001D197C">
        <w:t xml:space="preserve">ot specified </w:t>
      </w:r>
      <w:r w:rsidRPr="008E1AE3" w:rsidR="00965901">
        <w:t xml:space="preserve">are instances where claims </w:t>
      </w:r>
      <w:r w:rsidRPr="008E1AE3">
        <w:t>do not have a claim type</w:t>
      </w:r>
      <w:r w:rsidRPr="008E1AE3" w:rsidR="00965901">
        <w:t xml:space="preserve"> recorded</w:t>
      </w:r>
      <w:r>
        <w:t xml:space="preserve"> by the insurer</w:t>
      </w:r>
      <w:r w:rsidR="003E1736">
        <w:t xml:space="preserve"> (</w:t>
      </w:r>
      <w:r w:rsidRPr="008E1AE3">
        <w:t>i.e. claims still being assessed</w:t>
      </w:r>
      <w:r w:rsidR="003E1736">
        <w:t>)</w:t>
      </w:r>
      <w:r w:rsidRPr="008E1AE3">
        <w:t xml:space="preserve"> and denied claims</w:t>
      </w:r>
      <w:r w:rsidRPr="008E1AE3" w:rsidR="009C0A8C">
        <w:t xml:space="preserve">. </w:t>
      </w:r>
    </w:p>
    <w:p w:rsidR="004A2AEA" w:rsidRPr="008E1AE3" w:rsidP="004D7497" w14:paraId="79A02E20" w14:textId="0B71BE36">
      <w:pPr>
        <w:tabs>
          <w:tab w:val="left" w:pos="1296"/>
        </w:tabs>
        <w:spacing w:after="360"/>
      </w:pPr>
      <w:r>
        <w:t>‘</w:t>
      </w:r>
      <w:r w:rsidRPr="008E1AE3">
        <w:t>Other loss</w:t>
      </w:r>
      <w:r>
        <w:t>’</w:t>
      </w:r>
      <w:r w:rsidRPr="008E1AE3">
        <w:t xml:space="preserve"> claims </w:t>
      </w:r>
      <w:r w:rsidRPr="008E1AE3" w:rsidR="00AC2742">
        <w:t xml:space="preserve">in the following figure refers to defect claims that are not classified as </w:t>
      </w:r>
      <w:r w:rsidRPr="008E1AE3" w:rsidR="006C4722">
        <w:t xml:space="preserve">a </w:t>
      </w:r>
      <w:r w:rsidRPr="008E1AE3" w:rsidR="00AC2742">
        <w:t>major</w:t>
      </w:r>
      <w:r w:rsidRPr="008E1AE3" w:rsidR="006C4722">
        <w:t xml:space="preserve"> defect</w:t>
      </w:r>
      <w:r w:rsidRPr="008E1AE3" w:rsidR="00AC2742">
        <w:t>.</w:t>
      </w:r>
      <w:r w:rsidRPr="008E1AE3" w:rsidR="00643D6B">
        <w:t xml:space="preserve"> </w:t>
      </w:r>
      <w:r>
        <w:t>‘</w:t>
      </w:r>
      <w:r w:rsidRPr="008E1AE3" w:rsidR="00643D6B">
        <w:t xml:space="preserve">Multiple </w:t>
      </w:r>
      <w:r w:rsidRPr="008E1AE3" w:rsidR="00BD5C5E">
        <w:t xml:space="preserve">claim </w:t>
      </w:r>
      <w:r w:rsidRPr="008E1AE3" w:rsidR="00643D6B">
        <w:t>type</w:t>
      </w:r>
      <w:r>
        <w:t>’</w:t>
      </w:r>
      <w:r w:rsidRPr="008E1AE3" w:rsidR="008801F3">
        <w:t xml:space="preserve"> claims refer to</w:t>
      </w:r>
      <w:r w:rsidRPr="008E1AE3" w:rsidR="00643D6B">
        <w:t xml:space="preserve"> claims </w:t>
      </w:r>
      <w:r w:rsidR="003E0868">
        <w:t xml:space="preserve">lodged as </w:t>
      </w:r>
      <w:r>
        <w:t xml:space="preserve">reported by the insurer </w:t>
      </w:r>
      <w:r w:rsidRPr="008E1AE3" w:rsidR="00643D6B">
        <w:t>with more than one claim type.</w:t>
      </w:r>
    </w:p>
    <w:p w:rsidR="00966932" w:rsidRPr="008E1AE3" w:rsidP="00AB0583" w14:paraId="1EDFF40D" w14:textId="421C5694">
      <w:pPr>
        <w:pStyle w:val="Figures"/>
      </w:pPr>
      <w:bookmarkStart w:id="288" w:name="_Ref3548080"/>
      <w:r w:rsidRPr="008E1AE3">
        <w:t xml:space="preserve">Figure </w:t>
      </w:r>
      <w:r w:rsidRPr="008E1AE3">
        <w:fldChar w:fldCharType="begin"/>
      </w:r>
      <w:r w:rsidRPr="008E1AE3">
        <w:instrText xml:space="preserve"> SEQ Figure \* ARABIC </w:instrText>
      </w:r>
      <w:r w:rsidRPr="008E1AE3">
        <w:fldChar w:fldCharType="separate"/>
      </w:r>
      <w:r w:rsidR="00363D25">
        <w:t>21</w:t>
      </w:r>
      <w:r w:rsidRPr="008E1AE3">
        <w:fldChar w:fldCharType="end"/>
      </w:r>
      <w:bookmarkEnd w:id="288"/>
      <w:r w:rsidRPr="008E1AE3">
        <w:t xml:space="preserve">: Number of claims </w:t>
      </w:r>
      <w:r w:rsidRPr="00AF4C74" w:rsidR="00AF4C74">
        <w:t xml:space="preserve">lodged </w:t>
      </w:r>
      <w:r w:rsidRPr="008E1AE3" w:rsidR="00A503F4">
        <w:t xml:space="preserve">by year and </w:t>
      </w:r>
      <w:r w:rsidRPr="008E1AE3" w:rsidR="002172EE">
        <w:t xml:space="preserve">type of </w:t>
      </w:r>
      <w:r w:rsidRPr="008E1AE3">
        <w:t>claim</w:t>
      </w:r>
    </w:p>
    <w:p w:rsidR="00966932" w:rsidRPr="008E1AE3" w:rsidP="00D264DB" w14:paraId="2E238984" w14:textId="63886A7C">
      <w:pPr>
        <w:spacing w:before="0" w:after="200"/>
        <w:rPr>
          <w:b/>
        </w:rPr>
      </w:pPr>
      <w:r>
        <w:rPr>
          <w:b/>
          <w:noProof/>
        </w:rPr>
        <w:drawing>
          <wp:inline distT="0" distB="0" distL="0" distR="0">
            <wp:extent cx="5810250" cy="3512148"/>
            <wp:effectExtent l="0" t="0" r="0" b="0"/>
            <wp:docPr id="452709557" name="Picture 452709557" descr="This chart shows the number of claims lodged by year and type of claim from 2011/12 to 2017/18. &#10;&#10;Majority of claims are classified as major defects, whilst there was a significant proportion of claims classified as ‘multiple claim type’ (i.e. claim with more than one claim type) since 2014/15.&#10;&#10;‘Failure to complete’ constituted the main claim type in the earlier years of 2011/12 and 2012/13. The number of claims relating to non-completion develop sooner than defect claims.&#10;" title="Number of claims lodged by year and type of 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27433" name="Picture 15"/>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bwMode="auto">
                    <a:xfrm>
                      <a:off x="0" y="0"/>
                      <a:ext cx="5813142" cy="3513896"/>
                    </a:xfrm>
                    <a:prstGeom prst="rect">
                      <a:avLst/>
                    </a:prstGeom>
                    <a:noFill/>
                  </pic:spPr>
                </pic:pic>
              </a:graphicData>
            </a:graphic>
          </wp:inline>
        </w:drawing>
      </w:r>
    </w:p>
    <w:p w:rsidR="00191E4E" w14:paraId="4977B93E" w14:textId="77777777">
      <w:pPr>
        <w:spacing w:before="0" w:after="200"/>
        <w:rPr>
          <w:b/>
          <w:noProof/>
        </w:rPr>
      </w:pPr>
      <w:bookmarkStart w:id="289" w:name="_Ref2081929"/>
      <w:bookmarkStart w:id="290" w:name="_Ref3549466"/>
      <w:r>
        <w:br w:type="page"/>
      </w:r>
    </w:p>
    <w:p w:rsidR="00966932" w:rsidRPr="008E1AE3" w:rsidP="001553CE" w14:paraId="45BA6C49" w14:textId="381712FC">
      <w:pPr>
        <w:pStyle w:val="Figures"/>
      </w:pPr>
      <w:r w:rsidRPr="008E1AE3">
        <w:t xml:space="preserve">Figure </w:t>
      </w:r>
      <w:r w:rsidRPr="008E1AE3">
        <w:fldChar w:fldCharType="begin"/>
      </w:r>
      <w:r w:rsidRPr="008E1AE3">
        <w:instrText xml:space="preserve"> SEQ Figure \* ARABIC </w:instrText>
      </w:r>
      <w:r w:rsidRPr="008E1AE3">
        <w:fldChar w:fldCharType="separate"/>
      </w:r>
      <w:r w:rsidR="00363D25">
        <w:t>22</w:t>
      </w:r>
      <w:r w:rsidRPr="008E1AE3">
        <w:fldChar w:fldCharType="end"/>
      </w:r>
      <w:bookmarkEnd w:id="289"/>
      <w:bookmarkEnd w:id="290"/>
      <w:r w:rsidRPr="008E1AE3" w:rsidR="1D999B6B">
        <w:rPr>
          <w:noProof w:val="0"/>
        </w:rPr>
        <w:t>:</w:t>
      </w:r>
      <w:r w:rsidRPr="008E1AE3">
        <w:rPr>
          <w:noProof w:val="0"/>
        </w:rPr>
        <w:t xml:space="preserve"> Number of </w:t>
      </w:r>
      <w:r w:rsidRPr="008E1AE3" w:rsidR="008917E2">
        <w:rPr>
          <w:noProof w:val="0"/>
        </w:rPr>
        <w:t>c</w:t>
      </w:r>
      <w:r w:rsidRPr="008E1AE3">
        <w:rPr>
          <w:noProof w:val="0"/>
        </w:rPr>
        <w:t>laims</w:t>
      </w:r>
      <w:r w:rsidRPr="008E1AE3" w:rsidR="00E51444">
        <w:rPr>
          <w:noProof w:val="0"/>
        </w:rPr>
        <w:t xml:space="preserve"> </w:t>
      </w:r>
      <w:r w:rsidRPr="00AF4C74" w:rsidR="00AF4C74">
        <w:rPr>
          <w:noProof w:val="0"/>
        </w:rPr>
        <w:t xml:space="preserve">lodged </w:t>
      </w:r>
      <w:r w:rsidRPr="008E1AE3" w:rsidR="00A503F4">
        <w:rPr>
          <w:noProof w:val="0"/>
        </w:rPr>
        <w:t xml:space="preserve">by year and </w:t>
      </w:r>
      <w:r w:rsidRPr="008E1AE3" w:rsidR="00D258C3">
        <w:rPr>
          <w:noProof w:val="0"/>
        </w:rPr>
        <w:t xml:space="preserve">construction </w:t>
      </w:r>
      <w:r w:rsidRPr="008E1AE3" w:rsidR="00BC0E5F">
        <w:rPr>
          <w:noProof w:val="0"/>
        </w:rPr>
        <w:t>t</w:t>
      </w:r>
      <w:r w:rsidRPr="008E1AE3">
        <w:rPr>
          <w:noProof w:val="0"/>
        </w:rPr>
        <w:t>ype</w:t>
      </w:r>
    </w:p>
    <w:p w:rsidR="00087E4F" w:rsidRPr="008E1AE3" w:rsidP="006307F2" w14:paraId="673B471F" w14:textId="08E79EFE">
      <w:pPr>
        <w:spacing w:after="480"/>
      </w:pPr>
      <w:r>
        <w:rPr>
          <w:noProof/>
        </w:rPr>
        <w:drawing>
          <wp:inline distT="0" distB="0" distL="0" distR="0">
            <wp:extent cx="5861050" cy="3544656"/>
            <wp:effectExtent l="0" t="0" r="6350" b="0"/>
            <wp:docPr id="452709559" name="Picture 452709559" descr="This chart shows the number of claims lodged by year and construction type from 2011/12 to 2017/18. &#10;&#10;‘New single dwellings’ make up 58%, ‘alterations’ 22% and ‘new multiple dwellings’ 9% of the claims from 2011/12 to 2017/18. &#10;&#10;‘New duplex, triplex’ commenced to be reported as a separate category since 2014/15.&#10;" title="Number of claims lodged by year and construction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898381" name="Picture 16"/>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5861774" cy="3545094"/>
                    </a:xfrm>
                    <a:prstGeom prst="rect">
                      <a:avLst/>
                    </a:prstGeom>
                    <a:noFill/>
                  </pic:spPr>
                </pic:pic>
              </a:graphicData>
            </a:graphic>
          </wp:inline>
        </w:drawing>
      </w:r>
    </w:p>
    <w:p w:rsidR="000B6787" w:rsidRPr="008E1AE3" w:rsidP="000B6787" w14:paraId="6C02BA35" w14:textId="7AAC5737">
      <w:pPr>
        <w:pStyle w:val="Heading3"/>
      </w:pPr>
      <w:bookmarkStart w:id="291" w:name="_Toc4144939"/>
      <w:bookmarkStart w:id="292" w:name="_Toc4483528"/>
      <w:bookmarkStart w:id="293" w:name="_Toc4485219"/>
      <w:bookmarkStart w:id="294" w:name="_Toc15488357"/>
      <w:bookmarkStart w:id="295" w:name="_Hlk6908678"/>
      <w:r w:rsidRPr="008E1AE3">
        <w:t>Claim</w:t>
      </w:r>
      <w:r w:rsidRPr="008E1AE3">
        <w:t xml:space="preserve"> development</w:t>
      </w:r>
      <w:bookmarkEnd w:id="291"/>
      <w:bookmarkEnd w:id="292"/>
      <w:bookmarkEnd w:id="293"/>
      <w:bookmarkEnd w:id="294"/>
    </w:p>
    <w:p w:rsidR="000B6787" w:rsidRPr="008E1AE3" w:rsidP="000B6787" w14:paraId="3FAE6197" w14:textId="499C36AB">
      <w:r w:rsidRPr="008E1AE3">
        <w:t>Claim</w:t>
      </w:r>
      <w:r w:rsidRPr="008E1AE3">
        <w:t xml:space="preserve"> development charts facilitate:</w:t>
      </w:r>
    </w:p>
    <w:p w:rsidR="000B6787" w:rsidRPr="008E1AE3" w:rsidP="00C53DBD" w14:paraId="1FE2ABB5" w14:textId="0613BB4C">
      <w:pPr>
        <w:pStyle w:val="ListParagraph"/>
        <w:numPr>
          <w:ilvl w:val="0"/>
          <w:numId w:val="17"/>
        </w:numPr>
      </w:pPr>
      <w:r w:rsidRPr="008E1AE3">
        <w:t xml:space="preserve">A comparison of </w:t>
      </w:r>
      <w:r w:rsidR="000B0DB4">
        <w:t xml:space="preserve">cumulative number of claims by </w:t>
      </w:r>
      <w:r w:rsidR="001A764A">
        <w:t xml:space="preserve">year insurance </w:t>
      </w:r>
      <w:r w:rsidR="00DD0F4A">
        <w:t>issue</w:t>
      </w:r>
      <w:r w:rsidR="001A764A">
        <w:t>d</w:t>
      </w:r>
      <w:r w:rsidRPr="008E1AE3">
        <w:t xml:space="preserve"> at the same stage of development. That is, they allow experience to be compared on a like-for-like basis.</w:t>
      </w:r>
    </w:p>
    <w:p w:rsidR="000B6787" w:rsidRPr="008E1AE3" w:rsidP="00C53DBD" w14:paraId="55E20E07" w14:textId="5E0B1C38">
      <w:pPr>
        <w:pStyle w:val="ListParagraph"/>
        <w:numPr>
          <w:ilvl w:val="0"/>
          <w:numId w:val="17"/>
        </w:numPr>
      </w:pPr>
      <w:r w:rsidRPr="008E1AE3">
        <w:t xml:space="preserve">A greater understanding of the typical claim </w:t>
      </w:r>
      <w:r w:rsidRPr="008E1AE3" w:rsidR="00965901">
        <w:t xml:space="preserve">development </w:t>
      </w:r>
      <w:r w:rsidRPr="008E1AE3">
        <w:t>patterns.</w:t>
      </w:r>
    </w:p>
    <w:p w:rsidR="00D97E59" w:rsidRPr="008E1AE3" w:rsidP="7E503794" w14:paraId="5E1C6C0F" w14:textId="46EE07F2">
      <w:r w:rsidRPr="008E1AE3">
        <w:t xml:space="preserve">In these charts, the development year refers to the difference between the financial year of </w:t>
      </w:r>
      <w:r w:rsidR="00146EAE">
        <w:t xml:space="preserve">claim </w:t>
      </w:r>
      <w:r w:rsidRPr="008E1AE3">
        <w:t>lodgement</w:t>
      </w:r>
      <w:r w:rsidRPr="008E1AE3">
        <w:t xml:space="preserve"> and the financial year of </w:t>
      </w:r>
      <w:r w:rsidRPr="008E1AE3" w:rsidR="6B43E5E9">
        <w:t>certificate</w:t>
      </w:r>
      <w:r w:rsidRPr="008E1AE3">
        <w:t xml:space="preserve"> </w:t>
      </w:r>
      <w:r w:rsidR="007E701E">
        <w:t xml:space="preserve">of insurance </w:t>
      </w:r>
      <w:r w:rsidRPr="008E1AE3">
        <w:t>issue</w:t>
      </w:r>
      <w:r w:rsidR="00146EAE">
        <w:t>d</w:t>
      </w:r>
      <w:r w:rsidRPr="008E1AE3">
        <w:t>.</w:t>
      </w:r>
      <w:r w:rsidRPr="008E1AE3" w:rsidR="002D309C">
        <w:t xml:space="preserve"> Non-completion claims refer to </w:t>
      </w:r>
      <w:r w:rsidRPr="008E1AE3" w:rsidR="00185597">
        <w:t>failure to commence and failure to complete claims</w:t>
      </w:r>
      <w:r w:rsidRPr="008E1AE3" w:rsidR="004957A4">
        <w:t>, whil</w:t>
      </w:r>
      <w:r w:rsidRPr="008E1AE3" w:rsidR="00965901">
        <w:t xml:space="preserve">e </w:t>
      </w:r>
      <w:r w:rsidR="007E701E">
        <w:t>‘</w:t>
      </w:r>
      <w:r w:rsidRPr="008E1AE3" w:rsidR="00CA4CC1">
        <w:t>other</w:t>
      </w:r>
      <w:r w:rsidRPr="008E1AE3" w:rsidR="004957A4">
        <w:t xml:space="preserve"> claims</w:t>
      </w:r>
      <w:r w:rsidR="007E701E">
        <w:t>’</w:t>
      </w:r>
      <w:r w:rsidRPr="008E1AE3" w:rsidR="004957A4">
        <w:t xml:space="preserve"> refer to major defect</w:t>
      </w:r>
      <w:r w:rsidRPr="008E1AE3" w:rsidR="00841A30">
        <w:t xml:space="preserve"> claim</w:t>
      </w:r>
      <w:r w:rsidRPr="008E1AE3" w:rsidR="004957A4">
        <w:t>s</w:t>
      </w:r>
      <w:r w:rsidRPr="008E1AE3" w:rsidR="00841A30">
        <w:t>,</w:t>
      </w:r>
      <w:r w:rsidRPr="008E1AE3" w:rsidR="004957A4">
        <w:t xml:space="preserve"> other loss claims</w:t>
      </w:r>
      <w:r w:rsidRPr="008E1AE3" w:rsidR="00841A30">
        <w:t xml:space="preserve"> and claims with </w:t>
      </w:r>
      <w:r w:rsidRPr="008E1AE3" w:rsidR="00950CC5">
        <w:t xml:space="preserve">multiple claims types or </w:t>
      </w:r>
      <w:r w:rsidRPr="008E1AE3" w:rsidR="00841A30">
        <w:t>no claim</w:t>
      </w:r>
      <w:r w:rsidRPr="008E1AE3" w:rsidR="00950CC5">
        <w:t xml:space="preserve"> types</w:t>
      </w:r>
      <w:r w:rsidRPr="008E1AE3" w:rsidR="004957A4">
        <w:t>.</w:t>
      </w:r>
    </w:p>
    <w:p w:rsidR="000B6787" w:rsidRPr="008E1AE3" w:rsidP="00554184" w14:paraId="33B0CEED" w14:textId="78E09613">
      <w:pPr>
        <w:pStyle w:val="Figures"/>
      </w:pPr>
      <w:bookmarkEnd w:id="295"/>
      <w:r w:rsidRPr="008E1AE3">
        <w:t xml:space="preserve">Figure </w:t>
      </w:r>
      <w:r w:rsidRPr="008E1AE3">
        <w:fldChar w:fldCharType="begin"/>
      </w:r>
      <w:r w:rsidRPr="008E1AE3">
        <w:instrText xml:space="preserve"> SEQ Figure \* ARABIC </w:instrText>
      </w:r>
      <w:r w:rsidRPr="008E1AE3">
        <w:fldChar w:fldCharType="separate"/>
      </w:r>
      <w:r w:rsidR="00363D25">
        <w:t>23</w:t>
      </w:r>
      <w:r w:rsidRPr="008E1AE3">
        <w:fldChar w:fldCharType="end"/>
      </w:r>
      <w:r w:rsidRPr="008E1AE3">
        <w:t xml:space="preserve">: </w:t>
      </w:r>
      <w:r w:rsidRPr="008E1AE3" w:rsidR="03310F89">
        <w:t>Total claims - c</w:t>
      </w:r>
      <w:r w:rsidRPr="008E1AE3">
        <w:t xml:space="preserve">umulative </w:t>
      </w:r>
      <w:r w:rsidR="001A764A">
        <w:t xml:space="preserve">number of </w:t>
      </w:r>
      <w:r w:rsidRPr="008E1AE3">
        <w:t xml:space="preserve">claims </w:t>
      </w:r>
      <w:r w:rsidR="00135EA0">
        <w:t>lodged</w:t>
      </w:r>
      <w:r w:rsidRPr="008E1AE3" w:rsidR="00135EA0">
        <w:t xml:space="preserve"> </w:t>
      </w:r>
      <w:r w:rsidRPr="008E1AE3">
        <w:t xml:space="preserve">by </w:t>
      </w:r>
      <w:r w:rsidR="001A764A">
        <w:t>year</w:t>
      </w:r>
      <w:r w:rsidR="004E3FEB">
        <w:t xml:space="preserve"> insurance </w:t>
      </w:r>
      <w:r w:rsidR="00DD0F4A">
        <w:t>issue</w:t>
      </w:r>
      <w:r w:rsidR="00146EAE">
        <w:t>d</w:t>
      </w:r>
    </w:p>
    <w:p w:rsidR="00A04658" w:rsidRPr="008E1AE3" w:rsidP="006307F2" w14:paraId="53DFFA98" w14:textId="0999D928">
      <w:pPr>
        <w:spacing w:after="480"/>
      </w:pPr>
      <w:r w:rsidRPr="008E1AE3">
        <w:rPr>
          <w:noProof/>
        </w:rPr>
        <w:drawing>
          <wp:inline distT="0" distB="0" distL="0" distR="0">
            <wp:extent cx="6108700" cy="3670300"/>
            <wp:effectExtent l="0" t="0" r="6350" b="6350"/>
            <wp:docPr id="5" name="Picture 5" descr="This chart shows the Total claims - cumulative number of claims lodged  by year insurance issued from 2011/12 to 2017/18. &#10;&#10;The number of reported claims related to more recent insurance issued years are developing more favourably than for the 2010/11 and 2011/12 issued years.&#10;" title="Total claims - cumulative number of claims lodged by year insurance iss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39931" name="Picture 10"/>
                    <pic:cNvPicPr>
                      <a:picLocks noChangeAspect="1" noChangeArrowheads="1"/>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bwMode="auto">
                    <a:xfrm>
                      <a:off x="0" y="0"/>
                      <a:ext cx="6108700" cy="3670300"/>
                    </a:xfrm>
                    <a:prstGeom prst="rect">
                      <a:avLst/>
                    </a:prstGeom>
                    <a:noFill/>
                  </pic:spPr>
                </pic:pic>
              </a:graphicData>
            </a:graphic>
          </wp:inline>
        </w:drawing>
      </w:r>
    </w:p>
    <w:p w:rsidR="000B6787" w:rsidRPr="008E1AE3" w:rsidP="00554184" w14:paraId="5CDA32E6" w14:textId="362E8164">
      <w:pPr>
        <w:pStyle w:val="Figures"/>
      </w:pPr>
      <w:r w:rsidRPr="008E1AE3">
        <w:t xml:space="preserve">Figure </w:t>
      </w:r>
      <w:r w:rsidRPr="008E1AE3">
        <w:fldChar w:fldCharType="begin"/>
      </w:r>
      <w:r w:rsidRPr="008E1AE3">
        <w:instrText xml:space="preserve"> SEQ Figure \* ARABIC </w:instrText>
      </w:r>
      <w:r w:rsidRPr="008E1AE3">
        <w:fldChar w:fldCharType="separate"/>
      </w:r>
      <w:r w:rsidR="00363D25">
        <w:t>24</w:t>
      </w:r>
      <w:r w:rsidRPr="008E1AE3">
        <w:fldChar w:fldCharType="end"/>
      </w:r>
      <w:r w:rsidRPr="008E1AE3">
        <w:t xml:space="preserve">: </w:t>
      </w:r>
      <w:r w:rsidRPr="008E1AE3" w:rsidR="7B737895">
        <w:t>Non-completion claims - c</w:t>
      </w:r>
      <w:r w:rsidRPr="008E1AE3">
        <w:t xml:space="preserve">umulative </w:t>
      </w:r>
      <w:r w:rsidR="00E1672B">
        <w:t xml:space="preserve">number of </w:t>
      </w:r>
      <w:r w:rsidRPr="008E1AE3">
        <w:t xml:space="preserve">claims </w:t>
      </w:r>
      <w:r w:rsidRPr="00E930AA" w:rsidR="00E930AA">
        <w:t xml:space="preserve">lodged </w:t>
      </w:r>
      <w:r w:rsidRPr="008E1AE3">
        <w:t xml:space="preserve">by </w:t>
      </w:r>
      <w:r w:rsidR="00A10572">
        <w:t xml:space="preserve">year </w:t>
      </w:r>
      <w:r w:rsidR="004E3FEB">
        <w:t xml:space="preserve">insurance </w:t>
      </w:r>
      <w:r w:rsidRPr="008E1AE3">
        <w:t>issue</w:t>
      </w:r>
      <w:r w:rsidR="00146EAE">
        <w:t>d</w:t>
      </w:r>
      <w:r w:rsidRPr="008E1AE3">
        <w:t xml:space="preserve"> </w:t>
      </w:r>
    </w:p>
    <w:p w:rsidR="006B6AB4" w14:paraId="586675D6" w14:textId="32F99EAE">
      <w:pPr>
        <w:spacing w:before="0" w:after="200"/>
      </w:pPr>
      <w:r w:rsidRPr="008E1AE3">
        <w:rPr>
          <w:noProof/>
        </w:rPr>
        <w:drawing>
          <wp:inline distT="0" distB="0" distL="0" distR="0">
            <wp:extent cx="6108700" cy="3670300"/>
            <wp:effectExtent l="0" t="0" r="6350" b="6350"/>
            <wp:docPr id="14" name="Picture 14" descr="This chart shows the non-completion claims - cumulative number of claims lodged by year insurance issued from 2011/12 to 2017/18. &#10;&#10;Non-completion claims refer to ‘failure to commence’ and ‘failure to complete’ claim types.&#10;&#10;The number of non-completion claims related to more recent insurance issued years are developing more favourably than for the 2010/11 and 2011/12 issued years.&#10;&#10;The number of non-completion claims related to more recent certificate issued years are developing more favourably than for the 2010/11 and 2011/12 issue years." title="Non-completion claims - cumulative number of claims lodged by certificate issued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82166" name="Picture 11"/>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6108700" cy="3670300"/>
                    </a:xfrm>
                    <a:prstGeom prst="rect">
                      <a:avLst/>
                    </a:prstGeom>
                    <a:noFill/>
                  </pic:spPr>
                </pic:pic>
              </a:graphicData>
            </a:graphic>
          </wp:inline>
        </w:drawing>
      </w:r>
      <w:bookmarkStart w:id="296" w:name="_Toc530651493"/>
      <w:bookmarkStart w:id="297" w:name="_Toc530663770"/>
      <w:bookmarkStart w:id="298" w:name="_Toc530672082"/>
      <w:bookmarkStart w:id="299" w:name="_Toc530672524"/>
      <w:bookmarkStart w:id="300" w:name="_Toc530674190"/>
      <w:bookmarkStart w:id="301" w:name="_Toc531180094"/>
      <w:bookmarkStart w:id="302" w:name="_Toc531181933"/>
      <w:bookmarkStart w:id="303" w:name="_Toc2073651"/>
      <w:bookmarkStart w:id="304" w:name="_Toc2083971"/>
      <w:bookmarkStart w:id="305" w:name="_Toc2085893"/>
      <w:r>
        <w:br w:type="page"/>
      </w:r>
    </w:p>
    <w:p w:rsidR="00E30270" w:rsidRPr="008E1AE3" w:rsidP="00B66B77" w14:paraId="2CB1DEA3" w14:textId="7DC7205C">
      <w:pPr>
        <w:pStyle w:val="Figures"/>
      </w:pPr>
      <w:r w:rsidRPr="008E1AE3">
        <w:t xml:space="preserve">Figure </w:t>
      </w:r>
      <w:r w:rsidR="00B66B77">
        <w:fldChar w:fldCharType="begin"/>
      </w:r>
      <w:r w:rsidR="00B66B77">
        <w:instrText xml:space="preserve"> SEQ Figure \* ARABIC </w:instrText>
      </w:r>
      <w:r w:rsidR="00B66B77">
        <w:fldChar w:fldCharType="separate"/>
      </w:r>
      <w:r w:rsidR="00363D25">
        <w:t>25</w:t>
      </w:r>
      <w:r w:rsidR="00B66B77">
        <w:fldChar w:fldCharType="end"/>
      </w:r>
      <w:r w:rsidRPr="008E1AE3">
        <w:t xml:space="preserve">: </w:t>
      </w:r>
      <w:r w:rsidRPr="008E1AE3" w:rsidR="00994D20">
        <w:t>Other</w:t>
      </w:r>
      <w:r w:rsidRPr="008E1AE3" w:rsidR="5418D30F">
        <w:t xml:space="preserve"> claims - c</w:t>
      </w:r>
      <w:r w:rsidRPr="008E1AE3">
        <w:t xml:space="preserve">umulative </w:t>
      </w:r>
      <w:r w:rsidR="00333863">
        <w:t xml:space="preserve">number of </w:t>
      </w:r>
      <w:r w:rsidRPr="008E1AE3">
        <w:t xml:space="preserve">claims </w:t>
      </w:r>
      <w:r w:rsidRPr="00E930AA" w:rsidR="00E930AA">
        <w:t xml:space="preserve">lodged </w:t>
      </w:r>
      <w:r w:rsidRPr="008E1AE3">
        <w:t xml:space="preserve">by </w:t>
      </w:r>
      <w:r w:rsidR="00333863">
        <w:t>year</w:t>
      </w:r>
      <w:r w:rsidR="004E3FEB">
        <w:t xml:space="preserve"> insurance </w:t>
      </w:r>
      <w:r w:rsidR="00DD0F4A">
        <w:t>issue</w:t>
      </w:r>
      <w:r w:rsidR="00146EAE">
        <w:t>d</w:t>
      </w:r>
      <w:r w:rsidRPr="008E1AE3">
        <w:t xml:space="preserve"> </w:t>
      </w:r>
    </w:p>
    <w:p w:rsidR="00BB1009" w:rsidRPr="008E1AE3" w:rsidP="00BB1009" w14:paraId="1A456E08" w14:textId="58B47515">
      <w:r w:rsidRPr="008E1AE3">
        <w:rPr>
          <w:noProof/>
        </w:rPr>
        <w:drawing>
          <wp:inline distT="0" distB="0" distL="0" distR="0">
            <wp:extent cx="6108700" cy="3670300"/>
            <wp:effectExtent l="0" t="0" r="6350" b="6350"/>
            <wp:docPr id="18" name="Picture 18" descr="This chart shows other claims - cumulative number of claims lodged by year insurance issued from 2011/12 to 2017/18. &#10;&#10;‘Other claims’ refer to major defect claims, other loss claims and claims with multiple claims types or no claim types.&#10;&#10;The trends show that defect claims have a longer run-off pattern than non-completion claims. &#10;&#10;The number of claims relating to non-completion develop sooner than defect claims.&#10;&#10;The number of claims related to more recent insurance issued years are developing more favourably than for the 2010/11 and 2011/12 certificate issue years.&#10;" title="Other claims - cumulative number of claims lodged by insurance issued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72827" name="Picture 10"/>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bwMode="auto">
                    <a:xfrm>
                      <a:off x="0" y="0"/>
                      <a:ext cx="6108700" cy="3670300"/>
                    </a:xfrm>
                    <a:prstGeom prst="rect">
                      <a:avLst/>
                    </a:prstGeom>
                    <a:noFill/>
                  </pic:spPr>
                </pic:pic>
              </a:graphicData>
            </a:graphic>
          </wp:inline>
        </w:drawing>
      </w:r>
    </w:p>
    <w:p w:rsidR="00ED207D" w:rsidRPr="008E1AE3" w14:paraId="2F1C0C3D" w14:textId="77777777">
      <w:pPr>
        <w:spacing w:before="0" w:after="200"/>
        <w:rPr>
          <w:rFonts w:ascii="Clarendon Lt BT" w:hAnsi="Clarendon Lt BT" w:eastAsiaTheme="majorEastAsia" w:cstheme="majorBidi"/>
          <w:bCs/>
          <w:color w:val="000000" w:themeColor="text1"/>
          <w:sz w:val="32"/>
          <w:szCs w:val="26"/>
        </w:rPr>
      </w:pPr>
      <w:r w:rsidRPr="008E1AE3">
        <w:br w:type="page"/>
      </w:r>
    </w:p>
    <w:p w:rsidR="00284231" w:rsidRPr="008E1AE3" w:rsidP="00BC5CAF" w14:paraId="5D16D131" w14:textId="65B963D1">
      <w:pPr>
        <w:pStyle w:val="Heading2"/>
      </w:pPr>
      <w:bookmarkStart w:id="306" w:name="_Toc4144940"/>
      <w:bookmarkStart w:id="307" w:name="_Toc4483529"/>
      <w:bookmarkStart w:id="308" w:name="_Toc4485220"/>
      <w:bookmarkStart w:id="309" w:name="_Toc15488358"/>
      <w:r w:rsidRPr="008E1AE3">
        <w:t xml:space="preserve">6. </w:t>
      </w:r>
      <w:r w:rsidRPr="008E1AE3">
        <w:t>Claim payments</w:t>
      </w:r>
      <w:bookmarkEnd w:id="296"/>
      <w:bookmarkEnd w:id="297"/>
      <w:bookmarkEnd w:id="298"/>
      <w:bookmarkEnd w:id="299"/>
      <w:bookmarkEnd w:id="300"/>
      <w:bookmarkEnd w:id="301"/>
      <w:bookmarkEnd w:id="302"/>
      <w:bookmarkEnd w:id="303"/>
      <w:bookmarkEnd w:id="304"/>
      <w:bookmarkEnd w:id="305"/>
      <w:bookmarkEnd w:id="306"/>
      <w:r w:rsidRPr="008E1AE3" w:rsidR="000041A0">
        <w:t xml:space="preserve"> information</w:t>
      </w:r>
      <w:bookmarkEnd w:id="307"/>
      <w:bookmarkEnd w:id="308"/>
      <w:bookmarkEnd w:id="309"/>
    </w:p>
    <w:p w:rsidR="00406842" w:rsidRPr="008E1AE3" w:rsidP="00152015" w14:paraId="6D209A65" w14:textId="77777777">
      <w:pPr>
        <w:shd w:val="clear" w:color="auto" w:fill="DAEEF3" w:themeFill="accent5" w:themeFillTint="33"/>
        <w:rPr>
          <w:b/>
          <w:bCs/>
        </w:rPr>
      </w:pPr>
      <w:r w:rsidRPr="008E1AE3">
        <w:rPr>
          <w:b/>
          <w:bCs/>
        </w:rPr>
        <w:t>Key comments:</w:t>
      </w:r>
    </w:p>
    <w:p w:rsidR="00D518D9" w:rsidRPr="008E1AE3" w:rsidP="00C53DBD" w14:paraId="16D0187E" w14:textId="77CC2136">
      <w:pPr>
        <w:pStyle w:val="ListParagraph"/>
        <w:numPr>
          <w:ilvl w:val="0"/>
          <w:numId w:val="17"/>
        </w:numPr>
        <w:shd w:val="clear" w:color="auto" w:fill="DAEEF3" w:themeFill="accent5" w:themeFillTint="33"/>
      </w:pPr>
      <w:r w:rsidRPr="008E1AE3">
        <w:t xml:space="preserve">Over </w:t>
      </w:r>
      <w:r w:rsidRPr="008E1AE3" w:rsidR="00537C93">
        <w:t>2017/18</w:t>
      </w:r>
      <w:r w:rsidRPr="008E1AE3">
        <w:t xml:space="preserve">, there was </w:t>
      </w:r>
      <w:r w:rsidRPr="008E1AE3" w:rsidR="00537C93">
        <w:t xml:space="preserve">$55 million </w:t>
      </w:r>
      <w:r w:rsidRPr="008E1AE3">
        <w:t xml:space="preserve">in payments made on </w:t>
      </w:r>
      <w:r w:rsidRPr="008E1AE3" w:rsidR="00537C93">
        <w:t xml:space="preserve">approximately 700 claims. </w:t>
      </w:r>
      <w:r w:rsidRPr="008E1AE3">
        <w:t xml:space="preserve">Note that single claims may receive </w:t>
      </w:r>
      <w:r w:rsidRPr="008E1AE3" w:rsidR="00537C93">
        <w:t xml:space="preserve">multiple payments over several years. </w:t>
      </w:r>
    </w:p>
    <w:p w:rsidR="00B52529" w:rsidRPr="008E1AE3" w:rsidP="00C53DBD" w14:paraId="3FE5F89B" w14:textId="2A9593E1">
      <w:pPr>
        <w:pStyle w:val="ListParagraph"/>
        <w:numPr>
          <w:ilvl w:val="0"/>
          <w:numId w:val="17"/>
        </w:numPr>
        <w:shd w:val="clear" w:color="auto" w:fill="DAEEF3" w:themeFill="accent5" w:themeFillTint="33"/>
      </w:pPr>
      <w:r w:rsidRPr="008E1AE3">
        <w:t xml:space="preserve">Of all </w:t>
      </w:r>
      <w:r w:rsidRPr="008E1AE3" w:rsidR="008B30FE">
        <w:t xml:space="preserve">claim </w:t>
      </w:r>
      <w:r w:rsidRPr="008E1AE3">
        <w:t>payments made over</w:t>
      </w:r>
      <w:r w:rsidRPr="008E1AE3" w:rsidR="004C2A47">
        <w:t xml:space="preserve"> 2017/18, </w:t>
      </w:r>
      <w:r w:rsidRPr="008E1AE3">
        <w:t>$</w:t>
      </w:r>
      <w:r w:rsidRPr="008E1AE3" w:rsidR="6D2D1BF3">
        <w:t>32</w:t>
      </w:r>
      <w:r w:rsidRPr="008E1AE3">
        <w:t xml:space="preserve"> </w:t>
      </w:r>
      <w:r w:rsidRPr="008E1AE3" w:rsidR="73FC819E">
        <w:t>million</w:t>
      </w:r>
      <w:r w:rsidRPr="008E1AE3" w:rsidR="004C2A47">
        <w:t xml:space="preserve"> related to </w:t>
      </w:r>
      <w:r w:rsidRPr="008E1AE3">
        <w:t xml:space="preserve">major defects. Major defect payments have increased in recent years – this is </w:t>
      </w:r>
      <w:r w:rsidRPr="008E1AE3" w:rsidR="00E56FA0">
        <w:t xml:space="preserve">to be expected </w:t>
      </w:r>
      <w:r w:rsidRPr="008E1AE3">
        <w:t>as differences in periods of cover will mean that the mix of non-completion and defect payments will differ</w:t>
      </w:r>
      <w:r w:rsidRPr="008E1AE3" w:rsidR="00E56FA0">
        <w:t xml:space="preserve"> year-on-year</w:t>
      </w:r>
      <w:r w:rsidRPr="008E1AE3" w:rsidR="00A136A5">
        <w:t xml:space="preserve">. </w:t>
      </w:r>
    </w:p>
    <w:p w:rsidR="00903893" w:rsidRPr="008E1AE3" w:rsidP="00C53DBD" w14:paraId="3DD28808" w14:textId="0E5CFA0D">
      <w:pPr>
        <w:pStyle w:val="ListParagraph"/>
        <w:numPr>
          <w:ilvl w:val="0"/>
          <w:numId w:val="17"/>
        </w:numPr>
        <w:shd w:val="clear" w:color="auto" w:fill="DAEEF3" w:themeFill="accent5" w:themeFillTint="33"/>
      </w:pPr>
      <w:r w:rsidRPr="008E1AE3">
        <w:t>New</w:t>
      </w:r>
      <w:r w:rsidRPr="008E1AE3">
        <w:t xml:space="preserve"> single dwelling, alterations and ne</w:t>
      </w:r>
      <w:r w:rsidR="008A5990">
        <w:t>w</w:t>
      </w:r>
      <w:r w:rsidRPr="008E1AE3">
        <w:t xml:space="preserve"> multi dwellings accounted for </w:t>
      </w:r>
      <w:r w:rsidRPr="008E1AE3" w:rsidR="414C6478">
        <w:t>41</w:t>
      </w:r>
      <w:r w:rsidRPr="008E1AE3">
        <w:t xml:space="preserve">%, </w:t>
      </w:r>
      <w:r w:rsidRPr="008E1AE3" w:rsidR="414C6478">
        <w:t>32</w:t>
      </w:r>
      <w:r w:rsidRPr="008E1AE3">
        <w:t xml:space="preserve">% and </w:t>
      </w:r>
      <w:r w:rsidRPr="008E1AE3" w:rsidR="7FB3CB16">
        <w:t>22</w:t>
      </w:r>
      <w:r w:rsidRPr="008E1AE3">
        <w:t xml:space="preserve">% </w:t>
      </w:r>
      <w:r w:rsidRPr="008E1AE3" w:rsidR="00A31315">
        <w:t xml:space="preserve">respectively </w:t>
      </w:r>
      <w:r w:rsidRPr="008E1AE3">
        <w:t xml:space="preserve">of </w:t>
      </w:r>
      <w:r w:rsidRPr="008E1AE3">
        <w:t xml:space="preserve">all claim </w:t>
      </w:r>
      <w:r w:rsidRPr="008E1AE3">
        <w:t xml:space="preserve">payments made </w:t>
      </w:r>
      <w:r w:rsidRPr="008E1AE3">
        <w:t>over</w:t>
      </w:r>
      <w:r w:rsidRPr="008E1AE3">
        <w:t xml:space="preserve"> 2017/18. </w:t>
      </w:r>
    </w:p>
    <w:p w:rsidR="00F25A49" w:rsidRPr="008E1AE3" w:rsidP="00C53DBD" w14:paraId="082A16AB" w14:textId="036E5836">
      <w:pPr>
        <w:pStyle w:val="ListParagraph"/>
        <w:numPr>
          <w:ilvl w:val="0"/>
          <w:numId w:val="17"/>
        </w:numPr>
        <w:shd w:val="clear" w:color="auto" w:fill="DAEEF3" w:themeFill="accent5" w:themeFillTint="33"/>
      </w:pPr>
      <w:r w:rsidRPr="008E1AE3">
        <w:t>New multiple dwellings, alterations and new single dwellings had the highest average payment over 2017/18.</w:t>
      </w:r>
    </w:p>
    <w:p w:rsidR="00F25A49" w:rsidRPr="008E1AE3" w:rsidP="00C53DBD" w14:paraId="4B407CFF" w14:textId="203DF6AC">
      <w:pPr>
        <w:pStyle w:val="ListParagraph"/>
        <w:numPr>
          <w:ilvl w:val="0"/>
          <w:numId w:val="17"/>
        </w:numPr>
        <w:shd w:val="clear" w:color="auto" w:fill="DAEEF3" w:themeFill="accent5" w:themeFillTint="33"/>
      </w:pPr>
      <w:r>
        <w:t>C</w:t>
      </w:r>
      <w:r w:rsidRPr="00A34280" w:rsidR="00A34280">
        <w:t>laim payment</w:t>
      </w:r>
      <w:r>
        <w:t>s</w:t>
      </w:r>
      <w:r w:rsidRPr="00A34280" w:rsidR="00A34280">
        <w:t xml:space="preserve"> related to recent years are below the claim payment</w:t>
      </w:r>
      <w:r>
        <w:t>s</w:t>
      </w:r>
      <w:r w:rsidRPr="00A34280" w:rsidR="00A34280">
        <w:t xml:space="preserve"> from the 2010/11 and 2011/12 issued years as can be seen in chart</w:t>
      </w:r>
      <w:r>
        <w:t>s</w:t>
      </w:r>
      <w:r w:rsidRPr="00A34280" w:rsidR="00A34280">
        <w:t xml:space="preserve"> 31 and 32</w:t>
      </w:r>
      <w:r w:rsidR="00A34280">
        <w:t>.</w:t>
      </w:r>
    </w:p>
    <w:p w:rsidR="00406842" w:rsidRPr="008E1AE3" w:rsidP="00406842" w14:paraId="41323292" w14:textId="77777777">
      <w:pPr>
        <w:rPr>
          <w:highlight w:val="magenta"/>
        </w:rPr>
      </w:pPr>
    </w:p>
    <w:p w:rsidR="00B214E9" w:rsidRPr="008E1AE3" w:rsidP="2CBEE8A8" w14:paraId="7DF52CA7" w14:textId="4AF7E0EA">
      <w:pPr>
        <w:shd w:val="clear" w:color="auto" w:fill="FDE9D9" w:themeFill="accent6" w:themeFillTint="33"/>
        <w:rPr>
          <w:b/>
          <w:bCs/>
        </w:rPr>
      </w:pPr>
      <w:r>
        <w:rPr>
          <w:b/>
          <w:bCs/>
        </w:rPr>
        <w:t>Care should be taken in interpreting claims data for recent years, as it can take many years for claims related to building defects to emerge, and for the full claim payments and costs to be known</w:t>
      </w:r>
      <w:r w:rsidRPr="00D905F4" w:rsidR="00D905F4">
        <w:rPr>
          <w:b/>
          <w:bCs/>
        </w:rPr>
        <w:t>.</w:t>
      </w:r>
      <w:r w:rsidRPr="008E1AE3">
        <w:rPr>
          <w:b/>
          <w:bCs/>
        </w:rPr>
        <w:t xml:space="preserve"> Note:</w:t>
      </w:r>
    </w:p>
    <w:p w:rsidR="000F31FD" w:rsidP="00C53DBD" w14:paraId="6C5B0DCD" w14:textId="1B67589C">
      <w:pPr>
        <w:pStyle w:val="ListParagraph"/>
        <w:numPr>
          <w:ilvl w:val="0"/>
          <w:numId w:val="17"/>
        </w:numPr>
        <w:shd w:val="clear" w:color="auto" w:fill="FDE9D9" w:themeFill="accent6" w:themeFillTint="33"/>
        <w:rPr>
          <w:b/>
          <w:bCs/>
        </w:rPr>
      </w:pPr>
      <w:r w:rsidRPr="000F31FD">
        <w:rPr>
          <w:b/>
          <w:bCs/>
        </w:rPr>
        <w:t>Claims payment development chart</w:t>
      </w:r>
      <w:r>
        <w:rPr>
          <w:b/>
          <w:bCs/>
        </w:rPr>
        <w:t>s</w:t>
      </w:r>
      <w:r w:rsidRPr="000F31FD">
        <w:rPr>
          <w:b/>
          <w:bCs/>
        </w:rPr>
        <w:t xml:space="preserve"> allow for a like-for-like comparison of claims payment by year insurance issued</w:t>
      </w:r>
      <w:r>
        <w:rPr>
          <w:b/>
          <w:bCs/>
        </w:rPr>
        <w:t>.</w:t>
      </w:r>
    </w:p>
    <w:p w:rsidR="00B214E9" w:rsidRPr="008E1AE3" w:rsidP="00C53DBD" w14:paraId="41BEFCE0" w14:textId="7A92C9F7">
      <w:pPr>
        <w:pStyle w:val="ListParagraph"/>
        <w:numPr>
          <w:ilvl w:val="0"/>
          <w:numId w:val="17"/>
        </w:numPr>
        <w:shd w:val="clear" w:color="auto" w:fill="FDE9D9" w:themeFill="accent6" w:themeFillTint="33"/>
        <w:rPr>
          <w:b/>
          <w:bCs/>
        </w:rPr>
      </w:pPr>
      <w:r w:rsidRPr="008E1AE3">
        <w:rPr>
          <w:b/>
          <w:bCs/>
        </w:rPr>
        <w:t xml:space="preserve">It is important to consider payment “emergence / development patterns” when assessing experience. </w:t>
      </w:r>
    </w:p>
    <w:p w:rsidR="00B214E9" w:rsidRPr="008E1AE3" w:rsidP="00C53DBD" w14:paraId="56F8011A" w14:textId="34F771B7">
      <w:pPr>
        <w:pStyle w:val="ListParagraph"/>
        <w:numPr>
          <w:ilvl w:val="0"/>
          <w:numId w:val="17"/>
        </w:numPr>
        <w:shd w:val="clear" w:color="auto" w:fill="FDE9D9" w:themeFill="accent6" w:themeFillTint="33"/>
        <w:rPr>
          <w:b/>
          <w:bCs/>
        </w:rPr>
      </w:pPr>
      <w:r w:rsidRPr="008E1AE3">
        <w:rPr>
          <w:b/>
          <w:bCs/>
        </w:rPr>
        <w:t xml:space="preserve">Defect payments have a longer “emergence / development pattern” than non-completion </w:t>
      </w:r>
      <w:r w:rsidRPr="008E1AE3" w:rsidR="00A136A5">
        <w:rPr>
          <w:b/>
          <w:bCs/>
        </w:rPr>
        <w:t>payments</w:t>
      </w:r>
      <w:r w:rsidRPr="008E1AE3">
        <w:rPr>
          <w:b/>
          <w:bCs/>
        </w:rPr>
        <w:t xml:space="preserve">.  </w:t>
      </w:r>
    </w:p>
    <w:p w:rsidR="00B214E9" w:rsidRPr="008E1AE3" w:rsidP="00C53DBD" w14:paraId="034F3996" w14:textId="2D4935AE">
      <w:pPr>
        <w:pStyle w:val="ListParagraph"/>
        <w:numPr>
          <w:ilvl w:val="0"/>
          <w:numId w:val="17"/>
        </w:numPr>
        <w:shd w:val="clear" w:color="auto" w:fill="FDE9D9" w:themeFill="accent6" w:themeFillTint="33"/>
        <w:rPr>
          <w:b/>
          <w:bCs/>
        </w:rPr>
      </w:pPr>
      <w:r w:rsidRPr="008E1AE3">
        <w:rPr>
          <w:b/>
          <w:bCs/>
        </w:rPr>
        <w:t xml:space="preserve">The </w:t>
      </w:r>
      <w:r w:rsidRPr="008E1AE3" w:rsidR="00973478">
        <w:rPr>
          <w:b/>
          <w:bCs/>
        </w:rPr>
        <w:t xml:space="preserve">greater </w:t>
      </w:r>
      <w:r w:rsidRPr="008E1AE3">
        <w:rPr>
          <w:b/>
          <w:bCs/>
        </w:rPr>
        <w:t xml:space="preserve">the </w:t>
      </w:r>
      <w:r w:rsidRPr="008E1AE3" w:rsidR="00E56FA0">
        <w:rPr>
          <w:b/>
          <w:bCs/>
        </w:rPr>
        <w:t xml:space="preserve">volume of certificates </w:t>
      </w:r>
      <w:r w:rsidR="00E160E7">
        <w:rPr>
          <w:b/>
          <w:bCs/>
        </w:rPr>
        <w:t xml:space="preserve">of insurance </w:t>
      </w:r>
      <w:r w:rsidRPr="008E1AE3" w:rsidR="00E56FA0">
        <w:rPr>
          <w:b/>
          <w:bCs/>
        </w:rPr>
        <w:t>issued (exposure)</w:t>
      </w:r>
      <w:r w:rsidRPr="008E1AE3">
        <w:rPr>
          <w:b/>
          <w:bCs/>
        </w:rPr>
        <w:t xml:space="preserve">, the higher the expected </w:t>
      </w:r>
      <w:r w:rsidRPr="008E1AE3" w:rsidR="00973478">
        <w:rPr>
          <w:b/>
          <w:bCs/>
        </w:rPr>
        <w:t>payments</w:t>
      </w:r>
      <w:r w:rsidRPr="008E1AE3">
        <w:rPr>
          <w:b/>
          <w:bCs/>
        </w:rPr>
        <w:t xml:space="preserve">, all else being equal. </w:t>
      </w:r>
    </w:p>
    <w:p w:rsidR="00B214E9" w:rsidP="00C53DBD" w14:paraId="1160DBA1" w14:textId="04E2DF81">
      <w:pPr>
        <w:pStyle w:val="ListParagraph"/>
        <w:numPr>
          <w:ilvl w:val="0"/>
          <w:numId w:val="17"/>
        </w:numPr>
        <w:shd w:val="clear" w:color="auto" w:fill="FDE9D9" w:themeFill="accent6" w:themeFillTint="33"/>
        <w:rPr>
          <w:b/>
          <w:bCs/>
        </w:rPr>
      </w:pPr>
      <w:r w:rsidRPr="008E1AE3">
        <w:rPr>
          <w:b/>
          <w:bCs/>
        </w:rPr>
        <w:t xml:space="preserve">The </w:t>
      </w:r>
      <w:r w:rsidRPr="008E1AE3" w:rsidR="00973478">
        <w:rPr>
          <w:b/>
          <w:bCs/>
        </w:rPr>
        <w:t xml:space="preserve">payments </w:t>
      </w:r>
      <w:r w:rsidRPr="008E1AE3">
        <w:rPr>
          <w:b/>
          <w:bCs/>
        </w:rPr>
        <w:t xml:space="preserve">reported in this section relate to policies issued from </w:t>
      </w:r>
      <w:r w:rsidR="00B27AA5">
        <w:rPr>
          <w:b/>
          <w:bCs/>
        </w:rPr>
        <w:t>1</w:t>
      </w:r>
      <w:r w:rsidRPr="008E1AE3">
        <w:rPr>
          <w:b/>
          <w:bCs/>
        </w:rPr>
        <w:t xml:space="preserve"> July 2010. </w:t>
      </w:r>
    </w:p>
    <w:p w:rsidR="00A20733" w:rsidRPr="00B053AE" w:rsidP="00B053AE" w14:paraId="31A48FCD" w14:textId="2294EDDF">
      <w:pPr>
        <w:pStyle w:val="ListParagraph"/>
        <w:numPr>
          <w:ilvl w:val="0"/>
          <w:numId w:val="21"/>
        </w:numPr>
        <w:shd w:val="clear" w:color="auto" w:fill="FDE9D9" w:themeFill="accent6" w:themeFillTint="33"/>
        <w:ind w:left="360"/>
        <w:rPr>
          <w:b/>
          <w:bCs/>
        </w:rPr>
      </w:pPr>
      <w:r w:rsidRPr="00B053AE">
        <w:rPr>
          <w:b/>
          <w:bCs/>
        </w:rPr>
        <w:t>P</w:t>
      </w:r>
      <w:r w:rsidRPr="00B053AE" w:rsidR="00BA1F57">
        <w:rPr>
          <w:b/>
          <w:bCs/>
        </w:rPr>
        <w:t xml:space="preserve">ayments in this section include </w:t>
      </w:r>
      <w:r w:rsidRPr="00B053AE" w:rsidR="00D54E82">
        <w:rPr>
          <w:b/>
          <w:bCs/>
        </w:rPr>
        <w:t xml:space="preserve">GST. </w:t>
      </w:r>
    </w:p>
    <w:p w:rsidR="00323121" w:rsidRPr="008E1AE3" w:rsidP="00AB0583" w14:paraId="0859C4CD" w14:textId="5B906AC4">
      <w:pPr>
        <w:pStyle w:val="Figures"/>
      </w:pPr>
      <w:bookmarkStart w:id="310" w:name="_Ref2081316"/>
      <w:r w:rsidRPr="008E1AE3">
        <w:t xml:space="preserve">Figure </w:t>
      </w:r>
      <w:r w:rsidRPr="008E1AE3" w:rsidR="0028341A">
        <w:fldChar w:fldCharType="begin"/>
      </w:r>
      <w:r w:rsidRPr="008E1AE3" w:rsidR="0028341A">
        <w:instrText xml:space="preserve"> SEQ Figure \* ARABIC </w:instrText>
      </w:r>
      <w:r w:rsidRPr="008E1AE3" w:rsidR="0028341A">
        <w:fldChar w:fldCharType="separate"/>
      </w:r>
      <w:r w:rsidR="00363D25">
        <w:t>26</w:t>
      </w:r>
      <w:r w:rsidRPr="008E1AE3" w:rsidR="0028341A">
        <w:fldChar w:fldCharType="end"/>
      </w:r>
      <w:bookmarkEnd w:id="310"/>
      <w:r w:rsidRPr="008E1AE3">
        <w:t>: Claim payments</w:t>
      </w:r>
      <w:r w:rsidRPr="008E1AE3" w:rsidR="00C04162">
        <w:t xml:space="preserve"> </w:t>
      </w:r>
      <w:r w:rsidRPr="008E1AE3" w:rsidR="00326E37">
        <w:t xml:space="preserve">($ millions) </w:t>
      </w:r>
      <w:r w:rsidRPr="008E1AE3" w:rsidR="00A503F4">
        <w:t xml:space="preserve">by year </w:t>
      </w:r>
    </w:p>
    <w:p w:rsidR="00323121" w:rsidRPr="008E1AE3" w:rsidP="00BA0B7F" w14:paraId="6C9E6CC7" w14:textId="3FF181C6">
      <w:pPr>
        <w:spacing w:after="480"/>
      </w:pPr>
      <w:r w:rsidRPr="008E1AE3">
        <w:rPr>
          <w:noProof/>
        </w:rPr>
        <w:drawing>
          <wp:inline distT="0" distB="0" distL="0" distR="0">
            <wp:extent cx="6108700" cy="3670300"/>
            <wp:effectExtent l="0" t="0" r="6350" b="6350"/>
            <wp:docPr id="641639739" name="Picture 641639739" descr="This chart displays payments by year payment approved.&#10;&#10;Claim payments are trending upward from 2014/15 to 2017/18.&#10;&#10;In 2017/18 a total of $55 million was paid on approximately 700 claims. &#10;" title="Claim payments ($ millions)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25157" name=""/>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6108700" cy="3670300"/>
                    </a:xfrm>
                    <a:prstGeom prst="rect">
                      <a:avLst/>
                    </a:prstGeom>
                  </pic:spPr>
                </pic:pic>
              </a:graphicData>
            </a:graphic>
          </wp:inline>
        </w:drawing>
      </w:r>
    </w:p>
    <w:p w:rsidR="00A61CE9" w:rsidRPr="008E1AE3" w:rsidP="00B22ABA" w14:paraId="242E3953" w14:textId="4E264568">
      <w:pPr>
        <w:pStyle w:val="Figures"/>
      </w:pPr>
      <w:r w:rsidRPr="008E1AE3">
        <w:t xml:space="preserve">Figure </w:t>
      </w:r>
      <w:r w:rsidRPr="008E1AE3" w:rsidR="0028341A">
        <w:fldChar w:fldCharType="begin"/>
      </w:r>
      <w:r w:rsidRPr="008E1AE3" w:rsidR="0028341A">
        <w:instrText xml:space="preserve"> SEQ Figure \* ARABIC </w:instrText>
      </w:r>
      <w:r w:rsidRPr="008E1AE3" w:rsidR="0028341A">
        <w:fldChar w:fldCharType="separate"/>
      </w:r>
      <w:r w:rsidR="00363D25">
        <w:t>27</w:t>
      </w:r>
      <w:r w:rsidRPr="008E1AE3" w:rsidR="0028341A">
        <w:fldChar w:fldCharType="end"/>
      </w:r>
      <w:r w:rsidRPr="008E1AE3">
        <w:t xml:space="preserve">: </w:t>
      </w:r>
      <w:r w:rsidRPr="008E1AE3">
        <w:t xml:space="preserve">Number of claims </w:t>
      </w:r>
      <w:r w:rsidR="0038776C">
        <w:t xml:space="preserve">with payments </w:t>
      </w:r>
      <w:r w:rsidRPr="008E1AE3">
        <w:t>and average payment</w:t>
      </w:r>
      <w:r w:rsidRPr="008E1AE3" w:rsidR="00326E37">
        <w:t xml:space="preserve"> ($ thousands)</w:t>
      </w:r>
      <w:r w:rsidRPr="008E1AE3">
        <w:t xml:space="preserve"> over time</w:t>
      </w:r>
    </w:p>
    <w:p w:rsidR="00A61CE9" w:rsidRPr="008E1AE3" w:rsidP="00A61CE9" w14:paraId="1C59E5D1" w14:textId="2CE99EE5">
      <w:pPr>
        <w:spacing w:before="0" w:after="200"/>
        <w:rPr>
          <w:b/>
        </w:rPr>
      </w:pPr>
      <w:r w:rsidRPr="008E1AE3">
        <w:rPr>
          <w:noProof/>
        </w:rPr>
        <w:drawing>
          <wp:inline distT="0" distB="0" distL="0" distR="0">
            <wp:extent cx="6108700" cy="3670300"/>
            <wp:effectExtent l="0" t="0" r="6350" b="6350"/>
            <wp:docPr id="1764846843" name="Picture 1764846843" descr="This chart displays the number of claims with payments and average payment per claim by year payment approved.&#10;&#10;The number of claims with payments was around 300 in 2011/12, increased to over 500 in 2012/13 and remained around that level until 2015/16. &#10;In 2016/17 the number of claims with payments increased further to 700 but fell slightly below 700 in 2017/18. &#10;&#10;The average payment per claim fell from around $55K in 2011/12 to $25K in 2014/15, and then rose steadily to $80K in 2017/18.&#10;" title="Number of claims with payments and average payment ($ thousands) over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429652" name=""/>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a:xfrm>
                      <a:off x="0" y="0"/>
                      <a:ext cx="6108700" cy="3670300"/>
                    </a:xfrm>
                    <a:prstGeom prst="rect">
                      <a:avLst/>
                    </a:prstGeom>
                  </pic:spPr>
                </pic:pic>
              </a:graphicData>
            </a:graphic>
          </wp:inline>
        </w:drawing>
      </w:r>
    </w:p>
    <w:p w:rsidR="00A9597F" w:rsidRPr="008E1AE3" w:rsidP="00AB0583" w14:paraId="16EAE26C" w14:textId="232132B1">
      <w:pPr>
        <w:pStyle w:val="Figures"/>
      </w:pPr>
      <w:bookmarkStart w:id="311" w:name="_Ref2081857"/>
      <w:bookmarkStart w:id="312" w:name="_Toc530651496"/>
      <w:bookmarkStart w:id="313" w:name="_Toc530663773"/>
      <w:bookmarkStart w:id="314" w:name="_Toc530672085"/>
      <w:bookmarkStart w:id="315" w:name="_Toc530672527"/>
      <w:bookmarkStart w:id="316" w:name="_Toc530674193"/>
      <w:bookmarkStart w:id="317" w:name="_Toc531180098"/>
      <w:bookmarkStart w:id="318" w:name="_Toc531181937"/>
      <w:bookmarkStart w:id="319" w:name="_Toc530651494"/>
      <w:bookmarkStart w:id="320" w:name="_Toc530663771"/>
      <w:bookmarkStart w:id="321" w:name="_Toc530672083"/>
      <w:bookmarkStart w:id="322" w:name="_Toc530672525"/>
      <w:bookmarkStart w:id="323" w:name="_Toc530674191"/>
      <w:r w:rsidRPr="008E1AE3">
        <w:t xml:space="preserve">Figure </w:t>
      </w:r>
      <w:r w:rsidRPr="008E1AE3" w:rsidR="0028341A">
        <w:fldChar w:fldCharType="begin"/>
      </w:r>
      <w:r w:rsidRPr="008E1AE3" w:rsidR="0028341A">
        <w:instrText xml:space="preserve"> SEQ Figure \* ARABIC </w:instrText>
      </w:r>
      <w:r w:rsidRPr="008E1AE3" w:rsidR="0028341A">
        <w:fldChar w:fldCharType="separate"/>
      </w:r>
      <w:r w:rsidR="00363D25">
        <w:t>28</w:t>
      </w:r>
      <w:r w:rsidRPr="008E1AE3" w:rsidR="0028341A">
        <w:fldChar w:fldCharType="end"/>
      </w:r>
      <w:bookmarkEnd w:id="311"/>
      <w:r w:rsidRPr="008E1AE3">
        <w:t xml:space="preserve">: Claim payments ($ millions) </w:t>
      </w:r>
      <w:r w:rsidRPr="008E1AE3" w:rsidR="00A503F4">
        <w:t xml:space="preserve">by year and </w:t>
      </w:r>
      <w:r w:rsidRPr="008E1AE3">
        <w:t>type of claim</w:t>
      </w:r>
    </w:p>
    <w:p w:rsidR="00217D62" w:rsidRPr="008E1AE3" w:rsidP="00BA0B7F" w14:paraId="44FE8A2D" w14:textId="0DF601F2">
      <w:pPr>
        <w:spacing w:after="480"/>
      </w:pPr>
      <w:r w:rsidRPr="008E1AE3">
        <w:rPr>
          <w:noProof/>
        </w:rPr>
        <w:drawing>
          <wp:inline distT="0" distB="0" distL="0" distR="0">
            <wp:extent cx="6102349" cy="3670300"/>
            <wp:effectExtent l="0" t="0" r="0" b="6350"/>
            <wp:docPr id="2092660456" name="Picture 2092660456" descr="This chart displays payments by year payment approved and type of claim. &#10;&#10;Major defect payments have increased in recent years.&#10;&#10;In 2017/18, payments for major defect accounted for $32 million (up 54%), other loss $10 million (up 67%), and failure to complete $10 million (down 10%), compared to previous year. &#10;" title="Claim payments ($ millions) by year and type of 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836873" name=""/>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a:xfrm>
                      <a:off x="0" y="0"/>
                      <a:ext cx="6102349" cy="3670300"/>
                    </a:xfrm>
                    <a:prstGeom prst="rect">
                      <a:avLst/>
                    </a:prstGeom>
                  </pic:spPr>
                </pic:pic>
              </a:graphicData>
            </a:graphic>
          </wp:inline>
        </w:drawing>
      </w:r>
    </w:p>
    <w:p w:rsidR="009E2B3F" w:rsidRPr="008E1AE3" w:rsidP="00AB0583" w14:paraId="1B019DCD" w14:textId="03F402D7">
      <w:pPr>
        <w:pStyle w:val="Figures"/>
      </w:pPr>
      <w:bookmarkEnd w:id="312"/>
      <w:bookmarkEnd w:id="313"/>
      <w:bookmarkEnd w:id="314"/>
      <w:bookmarkEnd w:id="315"/>
      <w:bookmarkEnd w:id="316"/>
      <w:bookmarkEnd w:id="317"/>
      <w:bookmarkEnd w:id="318"/>
      <w:r w:rsidRPr="008E1AE3">
        <w:t xml:space="preserve">Figure </w:t>
      </w:r>
      <w:r w:rsidRPr="008E1AE3" w:rsidR="0028341A">
        <w:fldChar w:fldCharType="begin"/>
      </w:r>
      <w:r w:rsidRPr="008E1AE3" w:rsidR="0028341A">
        <w:instrText xml:space="preserve"> SEQ Figure \* ARABIC </w:instrText>
      </w:r>
      <w:r w:rsidRPr="008E1AE3" w:rsidR="0028341A">
        <w:fldChar w:fldCharType="separate"/>
      </w:r>
      <w:r w:rsidR="00363D25">
        <w:t>29</w:t>
      </w:r>
      <w:r w:rsidRPr="008E1AE3" w:rsidR="0028341A">
        <w:fldChar w:fldCharType="end"/>
      </w:r>
      <w:r w:rsidRPr="008E1AE3" w:rsidR="00AD0360">
        <w:t xml:space="preserve">: </w:t>
      </w:r>
      <w:r w:rsidRPr="008E1AE3">
        <w:t xml:space="preserve">Claim payments </w:t>
      </w:r>
      <w:r w:rsidRPr="008E1AE3" w:rsidR="00102537">
        <w:t xml:space="preserve">($ millions) </w:t>
      </w:r>
      <w:r w:rsidRPr="008E1AE3" w:rsidR="00A503F4">
        <w:t xml:space="preserve">by year and construction type </w:t>
      </w:r>
    </w:p>
    <w:p w:rsidR="009E2B3F" w:rsidRPr="008E1AE3" w:rsidP="009E2B3F" w14:paraId="280F8117" w14:textId="7268BB6E">
      <w:r w:rsidRPr="008E1AE3">
        <w:rPr>
          <w:noProof/>
        </w:rPr>
        <w:drawing>
          <wp:inline distT="0" distB="0" distL="0" distR="0">
            <wp:extent cx="6108700" cy="3670300"/>
            <wp:effectExtent l="0" t="0" r="6350" b="6350"/>
            <wp:docPr id="1182258815" name="Picture 1182258815" descr="This chart displays payments by year payment approved and construction type. &#10;&#10;Claim payments for new multiple dwellings, alterations and ‘new duplex, triplex’ (a new category since 2014/15), have increased in recent years. &#10;&#10;New single dwelling, alterations and new multiple dwellings accounted for 41%, 32% and 22% respectively of all claim payments made in 2017/18.&#10;" title="Claim payments ($ millions) by year and construction ty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389175" name=""/>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a:xfrm>
                      <a:off x="0" y="0"/>
                      <a:ext cx="6108700" cy="3670300"/>
                    </a:xfrm>
                    <a:prstGeom prst="rect">
                      <a:avLst/>
                    </a:prstGeom>
                  </pic:spPr>
                </pic:pic>
              </a:graphicData>
            </a:graphic>
          </wp:inline>
        </w:drawing>
      </w:r>
    </w:p>
    <w:p w:rsidR="009E2B3F" w:rsidRPr="008E1AE3" w:rsidP="00AB0583" w14:paraId="653257BD" w14:textId="26729D1E">
      <w:pPr>
        <w:pStyle w:val="Figures"/>
      </w:pPr>
      <w:r w:rsidRPr="008E1AE3">
        <w:t xml:space="preserve">Figure </w:t>
      </w:r>
      <w:r w:rsidRPr="008E1AE3" w:rsidR="0028341A">
        <w:fldChar w:fldCharType="begin"/>
      </w:r>
      <w:r w:rsidRPr="008E1AE3" w:rsidR="0028341A">
        <w:instrText xml:space="preserve"> SEQ Figure \* ARABIC </w:instrText>
      </w:r>
      <w:r w:rsidRPr="008E1AE3" w:rsidR="0028341A">
        <w:fldChar w:fldCharType="separate"/>
      </w:r>
      <w:r w:rsidR="00363D25">
        <w:t>30</w:t>
      </w:r>
      <w:r w:rsidRPr="008E1AE3" w:rsidR="0028341A">
        <w:fldChar w:fldCharType="end"/>
      </w:r>
      <w:r w:rsidRPr="008E1AE3" w:rsidR="00AD0360">
        <w:t>:</w:t>
      </w:r>
      <w:r w:rsidRPr="008E1AE3">
        <w:t xml:space="preserve"> Average </w:t>
      </w:r>
      <w:r w:rsidR="00665D00">
        <w:t xml:space="preserve">claim </w:t>
      </w:r>
      <w:r w:rsidRPr="008E1AE3">
        <w:t>payments ($</w:t>
      </w:r>
      <w:r w:rsidRPr="008E1AE3" w:rsidR="00102537">
        <w:t xml:space="preserve"> thousands</w:t>
      </w:r>
      <w:r w:rsidRPr="008E1AE3">
        <w:t xml:space="preserve">) by </w:t>
      </w:r>
      <w:r w:rsidRPr="008E1AE3" w:rsidR="004A7D96">
        <w:t xml:space="preserve">year and </w:t>
      </w:r>
      <w:r w:rsidRPr="008E1AE3">
        <w:t>c</w:t>
      </w:r>
      <w:r w:rsidRPr="008E1AE3" w:rsidR="002B69ED">
        <w:t>onstruction</w:t>
      </w:r>
      <w:r w:rsidRPr="008E1AE3">
        <w:t xml:space="preserve"> type</w:t>
      </w:r>
    </w:p>
    <w:p w:rsidR="009E2B3F" w:rsidRPr="008E1AE3" w:rsidP="009E2B3F" w14:paraId="575CCD31" w14:textId="108E99F3">
      <w:r w:rsidRPr="008E1AE3">
        <w:rPr>
          <w:noProof/>
        </w:rPr>
        <w:drawing>
          <wp:inline distT="0" distB="0" distL="0" distR="0">
            <wp:extent cx="6108700" cy="3670300"/>
            <wp:effectExtent l="0" t="0" r="6350" b="6350"/>
            <wp:docPr id="1814994573" name="Picture 1814994573" descr="This chart displays average payment per claim by year payment approved and construction type. The ‘new duplex, triplex’ construction type commenced under its own category from 2014/15.&#10;&#10;New multiple dwellings, alterations and new single dwellings had the highest average payments over 2017/18.&#10;&#10;There was a spike in average payments for new multiple dwellings from approximately $63,500 in 2016/17 to $ 152,300 in 2017/18. This was caused by three claims with total payments of $6.8 million in 2017/18.&#10;&#10;The average payment per claim in 2017/18 was approximately $98,000 for alterations, $65,400 for new single dwellings, $58,400 for ‘new duplex, triplex’, $31,600 for renovations and $18,200 for swimming pools and other construction types.&#10;" title="Average claim payments ($ thousands) by year and construction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424898" name=""/>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a:xfrm>
                      <a:off x="0" y="0"/>
                      <a:ext cx="6108700" cy="3670300"/>
                    </a:xfrm>
                    <a:prstGeom prst="rect">
                      <a:avLst/>
                    </a:prstGeom>
                  </pic:spPr>
                </pic:pic>
              </a:graphicData>
            </a:graphic>
          </wp:inline>
        </w:drawing>
      </w:r>
    </w:p>
    <w:p w:rsidR="00BC51D3" w:rsidRPr="008E1AE3" w:rsidP="2CBEE8A8" w14:paraId="0DE856A8" w14:textId="3CBFD47C">
      <w:pPr>
        <w:rPr>
          <w:rStyle w:val="FootnoteReference"/>
        </w:rPr>
      </w:pPr>
      <w:r w:rsidRPr="008E1AE3">
        <w:rPr>
          <w:rStyle w:val="FootnoteReference"/>
        </w:rPr>
        <w:t>‘New duplex, triplex’ commenced under its own category from 2014/15</w:t>
      </w:r>
      <w:r w:rsidRPr="008E1AE3" w:rsidR="0570D4E6">
        <w:rPr>
          <w:rStyle w:val="FootnoteReference"/>
        </w:rPr>
        <w:t>.</w:t>
      </w:r>
    </w:p>
    <w:p w:rsidR="0570D4E6" w:rsidRPr="008E1AE3" w:rsidP="004A7D96" w14:paraId="13452019" w14:textId="0BE4B5BD">
      <w:pPr>
        <w:spacing w:before="0" w:after="200"/>
      </w:pPr>
      <w:bookmarkStart w:id="324" w:name="_Toc531180100"/>
      <w:bookmarkStart w:id="325" w:name="_Toc531181939"/>
      <w:bookmarkStart w:id="326" w:name="_Toc2073655"/>
      <w:bookmarkStart w:id="327" w:name="_Toc2083975"/>
      <w:bookmarkStart w:id="328" w:name="_Toc2085897"/>
      <w:r w:rsidRPr="008E1AE3">
        <w:rPr>
          <w:rStyle w:val="FootnoteReference"/>
        </w:rPr>
        <w:t xml:space="preserve">The spike in average payments for new multiple dwellings in 2017/18 </w:t>
      </w:r>
      <w:r w:rsidRPr="008E1AE3" w:rsidR="2C5622E0">
        <w:rPr>
          <w:rStyle w:val="FootnoteReference"/>
        </w:rPr>
        <w:t>wa</w:t>
      </w:r>
      <w:r w:rsidRPr="008E1AE3">
        <w:rPr>
          <w:rStyle w:val="FootnoteReference"/>
        </w:rPr>
        <w:t>s</w:t>
      </w:r>
      <w:r w:rsidRPr="008E1AE3" w:rsidR="5C005CE3">
        <w:rPr>
          <w:rStyle w:val="FootnoteReference"/>
        </w:rPr>
        <w:t xml:space="preserve"> caused by </w:t>
      </w:r>
      <w:r w:rsidRPr="008E1AE3" w:rsidR="76F6BAC8">
        <w:rPr>
          <w:rStyle w:val="FootnoteReference"/>
        </w:rPr>
        <w:t xml:space="preserve">three </w:t>
      </w:r>
      <w:r w:rsidRPr="008E1AE3" w:rsidR="04D2B0FD">
        <w:rPr>
          <w:rStyle w:val="FootnoteReference"/>
        </w:rPr>
        <w:t>claims with total payments of $</w:t>
      </w:r>
      <w:r w:rsidRPr="008E1AE3" w:rsidR="2FBB498B">
        <w:rPr>
          <w:rStyle w:val="FootnoteReference"/>
        </w:rPr>
        <w:t>6.8 million</w:t>
      </w:r>
      <w:r w:rsidRPr="008E1AE3" w:rsidR="2F664D30">
        <w:rPr>
          <w:rStyle w:val="FootnoteReference"/>
        </w:rPr>
        <w:t xml:space="preserve"> in 2017/18</w:t>
      </w:r>
      <w:r w:rsidRPr="008E1AE3" w:rsidR="69288B24">
        <w:rPr>
          <w:rStyle w:val="FootnoteReference"/>
        </w:rPr>
        <w:t>.</w:t>
      </w:r>
    </w:p>
    <w:p w:rsidR="000B6787" w:rsidRPr="008E1AE3" w:rsidP="006131ED" w14:paraId="4B9467A6" w14:textId="791732F5">
      <w:pPr>
        <w:pStyle w:val="Heading3"/>
        <w:spacing w:before="360"/>
      </w:pPr>
      <w:bookmarkStart w:id="329" w:name="_Toc4144942"/>
      <w:bookmarkStart w:id="330" w:name="_Toc4483530"/>
      <w:bookmarkStart w:id="331" w:name="_Toc4485221"/>
      <w:bookmarkStart w:id="332" w:name="_Toc15488359"/>
      <w:bookmarkStart w:id="333" w:name="_Toc2085898"/>
      <w:bookmarkStart w:id="334" w:name="_Toc530651498"/>
      <w:bookmarkStart w:id="335" w:name="_Toc530663775"/>
      <w:bookmarkStart w:id="336" w:name="_Toc530672087"/>
      <w:bookmarkStart w:id="337" w:name="_Toc530672529"/>
      <w:bookmarkStart w:id="338" w:name="_Toc530674195"/>
      <w:bookmarkStart w:id="339" w:name="_Toc531180103"/>
      <w:bookmarkStart w:id="340" w:name="_Toc531181942"/>
      <w:bookmarkStart w:id="341" w:name="_Toc2073656"/>
      <w:bookmarkStart w:id="342" w:name="_Toc2083976"/>
      <w:bookmarkStart w:id="343" w:name="_Hlk6908712"/>
      <w:bookmarkStart w:id="344" w:name="_Hlk529959058"/>
      <w:bookmarkEnd w:id="319"/>
      <w:bookmarkEnd w:id="320"/>
      <w:bookmarkEnd w:id="321"/>
      <w:bookmarkEnd w:id="322"/>
      <w:bookmarkEnd w:id="323"/>
      <w:bookmarkEnd w:id="324"/>
      <w:bookmarkEnd w:id="325"/>
      <w:bookmarkEnd w:id="326"/>
      <w:bookmarkEnd w:id="327"/>
      <w:bookmarkEnd w:id="328"/>
      <w:r w:rsidRPr="008E1AE3">
        <w:t>Claim payment development</w:t>
      </w:r>
      <w:bookmarkEnd w:id="329"/>
      <w:bookmarkEnd w:id="330"/>
      <w:bookmarkEnd w:id="331"/>
      <w:bookmarkEnd w:id="332"/>
    </w:p>
    <w:p w:rsidR="000B6787" w:rsidRPr="008E1AE3" w:rsidP="2CBEE8A8" w14:paraId="1759345B" w14:textId="232E7DEA">
      <w:r w:rsidRPr="008E1AE3">
        <w:t>Claim payment development charts facilitate:</w:t>
      </w:r>
    </w:p>
    <w:p w:rsidR="000B6787" w:rsidRPr="008E1AE3" w:rsidP="0048491A" w14:paraId="543A53DC" w14:textId="7FADEF1C">
      <w:pPr>
        <w:pStyle w:val="ListParagraph"/>
        <w:numPr>
          <w:ilvl w:val="0"/>
          <w:numId w:val="17"/>
        </w:numPr>
      </w:pPr>
      <w:r w:rsidRPr="008E1AE3">
        <w:t xml:space="preserve">A comparison of </w:t>
      </w:r>
      <w:r w:rsidR="004C53D2">
        <w:t xml:space="preserve">cumulative claim </w:t>
      </w:r>
      <w:r w:rsidRPr="0048491A" w:rsidR="0048491A">
        <w:t>payment</w:t>
      </w:r>
      <w:r w:rsidR="004C53D2">
        <w:t>s</w:t>
      </w:r>
      <w:r w:rsidRPr="0048491A" w:rsidR="0048491A">
        <w:t xml:space="preserve"> </w:t>
      </w:r>
      <w:r w:rsidR="001A764A">
        <w:t xml:space="preserve">by year insurance </w:t>
      </w:r>
      <w:r w:rsidRPr="008E1AE3">
        <w:t>issued at the same stage of development. That is, they allow experience to be compared on a like-for-like basis.</w:t>
      </w:r>
    </w:p>
    <w:p w:rsidR="00A1244D" w:rsidRPr="008E1AE3" w:rsidP="00C53DBD" w14:paraId="2DE43C11" w14:textId="629835F0">
      <w:pPr>
        <w:pStyle w:val="ListParagraph"/>
        <w:numPr>
          <w:ilvl w:val="0"/>
          <w:numId w:val="17"/>
        </w:numPr>
      </w:pPr>
      <w:r w:rsidRPr="008E1AE3">
        <w:t>A greater understanding of the typical claim payment patterns.</w:t>
      </w:r>
      <w:r w:rsidRPr="008E1AE3" w:rsidR="006B6AB4">
        <w:t xml:space="preserve"> </w:t>
      </w:r>
      <w:bookmarkEnd w:id="333"/>
      <w:bookmarkEnd w:id="334"/>
      <w:bookmarkEnd w:id="335"/>
      <w:bookmarkEnd w:id="336"/>
      <w:bookmarkEnd w:id="337"/>
      <w:bookmarkEnd w:id="338"/>
      <w:bookmarkEnd w:id="339"/>
      <w:bookmarkEnd w:id="340"/>
      <w:bookmarkEnd w:id="341"/>
      <w:bookmarkEnd w:id="342"/>
    </w:p>
    <w:p w:rsidR="4668CC17" w:rsidRPr="008E1AE3" w14:paraId="5AA2B78C" w14:textId="02293DDC">
      <w:bookmarkStart w:id="345" w:name="_Ref2159995"/>
      <w:r w:rsidRPr="008E1AE3">
        <w:t xml:space="preserve">In these charts, the development year refers to the difference between the financial year of payment and the financial year of </w:t>
      </w:r>
      <w:r w:rsidRPr="008E1AE3" w:rsidR="4154F2E9">
        <w:t>certificate</w:t>
      </w:r>
      <w:r w:rsidRPr="008E1AE3">
        <w:t xml:space="preserve"> </w:t>
      </w:r>
      <w:r w:rsidR="000B0DB4">
        <w:t xml:space="preserve">of insurance </w:t>
      </w:r>
      <w:r w:rsidRPr="008E1AE3">
        <w:t>issue</w:t>
      </w:r>
      <w:r w:rsidR="000B0DB4">
        <w:t>d</w:t>
      </w:r>
      <w:r w:rsidRPr="008E1AE3">
        <w:t xml:space="preserve">. </w:t>
      </w:r>
      <w:r w:rsidRPr="008E1AE3" w:rsidR="227549F3">
        <w:t xml:space="preserve">As in Section 5 </w:t>
      </w:r>
      <w:r w:rsidRPr="008E1AE3" w:rsidR="00A136A5">
        <w:t>c</w:t>
      </w:r>
      <w:r w:rsidRPr="008E1AE3" w:rsidR="227549F3">
        <w:t xml:space="preserve">laim </w:t>
      </w:r>
      <w:r w:rsidR="0013681B">
        <w:t>information</w:t>
      </w:r>
      <w:r w:rsidRPr="008E1AE3" w:rsidR="227549F3">
        <w:t>, n</w:t>
      </w:r>
      <w:r w:rsidRPr="008E1AE3">
        <w:t xml:space="preserve">on-completion claims refer to failure to commence and failure to complete claims, </w:t>
      </w:r>
      <w:r w:rsidRPr="008E1AE3" w:rsidR="008E1AE3">
        <w:t>while other claims refer to major defect claims, other loss claims and claims with multiple claims types or no claim types.</w:t>
      </w:r>
    </w:p>
    <w:p w:rsidR="00A61CE9" w:rsidRPr="008E1AE3" w:rsidP="00AB0583" w14:paraId="2DF70DCD" w14:textId="77E85C79">
      <w:pPr>
        <w:pStyle w:val="Figures"/>
      </w:pPr>
      <w:bookmarkEnd w:id="343"/>
      <w:r w:rsidRPr="008E1AE3">
        <w:t xml:space="preserve">Figure </w:t>
      </w:r>
      <w:r w:rsidRPr="008E1AE3" w:rsidR="0028341A">
        <w:fldChar w:fldCharType="begin"/>
      </w:r>
      <w:r w:rsidRPr="008E1AE3" w:rsidR="0028341A">
        <w:instrText xml:space="preserve"> SEQ Figure \* ARABIC </w:instrText>
      </w:r>
      <w:r w:rsidRPr="008E1AE3" w:rsidR="0028341A">
        <w:fldChar w:fldCharType="separate"/>
      </w:r>
      <w:r w:rsidR="00363D25">
        <w:t>31</w:t>
      </w:r>
      <w:r w:rsidRPr="008E1AE3" w:rsidR="0028341A">
        <w:fldChar w:fldCharType="end"/>
      </w:r>
      <w:bookmarkEnd w:id="345"/>
      <w:r w:rsidRPr="008E1AE3" w:rsidR="00516037">
        <w:t>:</w:t>
      </w:r>
      <w:r w:rsidRPr="008E1AE3" w:rsidR="00735DB5">
        <w:t xml:space="preserve"> </w:t>
      </w:r>
      <w:r w:rsidRPr="008E1AE3" w:rsidR="766C7E2B">
        <w:t>Total cla</w:t>
      </w:r>
      <w:r w:rsidRPr="008E1AE3" w:rsidR="6B135F33">
        <w:t xml:space="preserve">ims </w:t>
      </w:r>
      <w:r w:rsidRPr="008E1AE3" w:rsidR="00BA0BDC">
        <w:t>–</w:t>
      </w:r>
      <w:r w:rsidRPr="008E1AE3" w:rsidR="00735DB5">
        <w:t xml:space="preserve"> </w:t>
      </w:r>
      <w:r w:rsidRPr="008E1AE3">
        <w:t>Cumulative payments</w:t>
      </w:r>
      <w:r w:rsidRPr="008E1AE3" w:rsidR="00F43E1A">
        <w:t xml:space="preserve"> ($ millions)</w:t>
      </w:r>
      <w:r w:rsidRPr="008E1AE3">
        <w:t xml:space="preserve"> by </w:t>
      </w:r>
      <w:bookmarkStart w:id="346" w:name="_Hlk6392186"/>
      <w:r w:rsidRPr="008E1AE3">
        <w:t>year</w:t>
      </w:r>
      <w:r w:rsidR="002C1465">
        <w:t xml:space="preserve"> insurance issued</w:t>
      </w:r>
    </w:p>
    <w:p w:rsidR="005D09B4" w:rsidRPr="008E1AE3" w:rsidP="008A6EB6" w14:paraId="1BDEDCFF" w14:textId="669EB6DB">
      <w:pPr>
        <w:spacing w:before="0" w:after="480"/>
        <w:rPr>
          <w:b/>
        </w:rPr>
      </w:pPr>
      <w:bookmarkEnd w:id="344"/>
      <w:bookmarkEnd w:id="346"/>
      <w:r w:rsidRPr="008E1AE3">
        <w:rPr>
          <w:b/>
          <w:noProof/>
        </w:rPr>
        <w:t xml:space="preserve"> </w:t>
      </w:r>
      <w:r w:rsidR="00074B5A">
        <w:rPr>
          <w:b/>
          <w:noProof/>
        </w:rPr>
        <w:drawing>
          <wp:inline distT="0" distB="0" distL="0" distR="0">
            <wp:extent cx="6108700" cy="3670300"/>
            <wp:effectExtent l="0" t="0" r="6350" b="6350"/>
            <wp:docPr id="15" name="Picture 15" descr="This chart displays cumulative payments by development year and year insurace issued for all claims.&#10;&#10;The cumulative payments related to more recent insurance issued years are developing more favourably than for the 2010/11 and 2011/12 issued years.&#10;" title="Total claims – Cumulative payments ($ millions) by year insurance iss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21063" name="Picture 10"/>
                    <pic:cNvPicPr>
                      <a:picLocks noChangeAspect="1" noChangeArrowheads="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bwMode="auto">
                    <a:xfrm>
                      <a:off x="0" y="0"/>
                      <a:ext cx="6108700" cy="3670300"/>
                    </a:xfrm>
                    <a:prstGeom prst="rect">
                      <a:avLst/>
                    </a:prstGeom>
                    <a:noFill/>
                  </pic:spPr>
                </pic:pic>
              </a:graphicData>
            </a:graphic>
          </wp:inline>
        </w:drawing>
      </w:r>
    </w:p>
    <w:p w:rsidR="000D08F9" w:rsidRPr="008E1AE3" w:rsidP="00556735" w14:paraId="5329CA39" w14:textId="5A438548">
      <w:pPr>
        <w:pStyle w:val="Figures"/>
      </w:pPr>
      <w:bookmarkStart w:id="347" w:name="_Ref2160020"/>
      <w:bookmarkStart w:id="348" w:name="_Toc532988537"/>
      <w:bookmarkStart w:id="349" w:name="_Toc530651497"/>
      <w:bookmarkStart w:id="350" w:name="_Toc530663774"/>
      <w:bookmarkStart w:id="351" w:name="_Toc530672086"/>
      <w:bookmarkStart w:id="352" w:name="_Toc530672528"/>
      <w:bookmarkStart w:id="353" w:name="_Toc530674194"/>
      <w:bookmarkStart w:id="354" w:name="_Toc531180102"/>
      <w:bookmarkStart w:id="355" w:name="_Toc531181941"/>
      <w:r w:rsidRPr="008E1AE3">
        <w:t xml:space="preserve">Figure </w:t>
      </w:r>
      <w:r w:rsidRPr="008E1AE3" w:rsidR="0028341A">
        <w:fldChar w:fldCharType="begin"/>
      </w:r>
      <w:r w:rsidRPr="008E1AE3" w:rsidR="0028341A">
        <w:instrText xml:space="preserve"> SEQ Figure \* ARABIC </w:instrText>
      </w:r>
      <w:r w:rsidRPr="008E1AE3" w:rsidR="0028341A">
        <w:fldChar w:fldCharType="separate"/>
      </w:r>
      <w:r w:rsidR="00363D25">
        <w:t>32</w:t>
      </w:r>
      <w:r w:rsidRPr="008E1AE3" w:rsidR="0028341A">
        <w:fldChar w:fldCharType="end"/>
      </w:r>
      <w:bookmarkEnd w:id="347"/>
      <w:r w:rsidRPr="008E1AE3">
        <w:t xml:space="preserve">: </w:t>
      </w:r>
      <w:r w:rsidRPr="008E1AE3" w:rsidR="00CC23EB">
        <w:t xml:space="preserve">Non-completion claims – </w:t>
      </w:r>
      <w:r w:rsidRPr="008E1AE3">
        <w:rPr>
          <w:lang w:eastAsia="en-AU"/>
        </w:rPr>
        <w:t>Cumulative payments ($ millions)</w:t>
      </w:r>
      <w:r w:rsidRPr="008E1AE3" w:rsidR="00A2164A">
        <w:rPr>
          <w:lang w:eastAsia="en-AU"/>
        </w:rPr>
        <w:t xml:space="preserve"> </w:t>
      </w:r>
      <w:r w:rsidR="00556735">
        <w:rPr>
          <w:lang w:eastAsia="en-AU"/>
        </w:rPr>
        <w:t>by year</w:t>
      </w:r>
      <w:r w:rsidR="00850FC5">
        <w:rPr>
          <w:lang w:eastAsia="en-AU"/>
        </w:rPr>
        <w:t xml:space="preserve"> </w:t>
      </w:r>
      <w:r w:rsidRPr="00850FC5" w:rsidR="00850FC5">
        <w:rPr>
          <w:lang w:eastAsia="en-AU"/>
        </w:rPr>
        <w:t>insurance issued</w:t>
      </w:r>
    </w:p>
    <w:p w:rsidR="00F000FD" w:rsidRPr="008E1AE3" w:rsidP="00A56864" w14:paraId="203FB4F2" w14:textId="27833C34">
      <w:r>
        <w:rPr>
          <w:noProof/>
        </w:rPr>
        <w:drawing>
          <wp:inline distT="0" distB="0" distL="0" distR="0">
            <wp:extent cx="6108700" cy="3670300"/>
            <wp:effectExtent l="0" t="0" r="6350" b="6350"/>
            <wp:docPr id="20" name="Picture 20" descr="This chart displays cumulative payments by development year and year insurance issued for non-completion claims.&#10;&#10;'Non-completion claims' refer to ‘failure to commence’ and ‘failure to complete’ claim types.&#10;&#10;The payments related to more recent insurance issued years are developing more favourably than for the 2010/11 and 2011/12 issued years.&#10;" title="Non-completion claims – Cumulative payments ($ millions) by year insurance iss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096787" name="Picture 10"/>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bwMode="auto">
                    <a:xfrm>
                      <a:off x="0" y="0"/>
                      <a:ext cx="6108700" cy="3670300"/>
                    </a:xfrm>
                    <a:prstGeom prst="rect">
                      <a:avLst/>
                    </a:prstGeom>
                    <a:noFill/>
                  </pic:spPr>
                </pic:pic>
              </a:graphicData>
            </a:graphic>
          </wp:inline>
        </w:drawing>
      </w:r>
    </w:p>
    <w:p w:rsidR="00AC0CBA" w:rsidRPr="008E1AE3" w:rsidP="00AC0CBA" w14:paraId="646A0848" w14:textId="6A9CB3F4">
      <w:pPr>
        <w:pStyle w:val="Figures"/>
        <w:rPr>
          <w:lang w:eastAsia="en-AU"/>
        </w:rPr>
      </w:pPr>
      <w:bookmarkStart w:id="356" w:name="_Ref2156003"/>
      <w:r w:rsidRPr="008E1AE3">
        <w:t xml:space="preserve">Figure </w:t>
      </w:r>
      <w:r w:rsidRPr="008E1AE3">
        <w:fldChar w:fldCharType="begin"/>
      </w:r>
      <w:r w:rsidRPr="008E1AE3">
        <w:instrText xml:space="preserve"> SEQ Figure \* ARABIC </w:instrText>
      </w:r>
      <w:r w:rsidRPr="008E1AE3">
        <w:fldChar w:fldCharType="separate"/>
      </w:r>
      <w:r w:rsidR="00363D25">
        <w:t>33</w:t>
      </w:r>
      <w:r w:rsidRPr="008E1AE3">
        <w:fldChar w:fldCharType="end"/>
      </w:r>
      <w:bookmarkEnd w:id="356"/>
      <w:r w:rsidRPr="008E1AE3">
        <w:t xml:space="preserve">: </w:t>
      </w:r>
      <w:r w:rsidRPr="008E1AE3" w:rsidR="002C4510">
        <w:t>Other</w:t>
      </w:r>
      <w:r w:rsidRPr="008E1AE3">
        <w:t xml:space="preserve"> claims – </w:t>
      </w:r>
      <w:r w:rsidRPr="008E1AE3">
        <w:rPr>
          <w:lang w:eastAsia="en-AU"/>
        </w:rPr>
        <w:t>Cumulative payments ($ millions) by year</w:t>
      </w:r>
      <w:r w:rsidR="00850FC5">
        <w:rPr>
          <w:lang w:eastAsia="en-AU"/>
        </w:rPr>
        <w:t xml:space="preserve"> </w:t>
      </w:r>
      <w:r w:rsidRPr="00850FC5" w:rsidR="00850FC5">
        <w:rPr>
          <w:lang w:eastAsia="en-AU"/>
        </w:rPr>
        <w:t>insurance issued</w:t>
      </w:r>
    </w:p>
    <w:p w:rsidR="00A56864" w:rsidP="00C558D3" w14:paraId="2C6FEB5D" w14:textId="7C6F11F2">
      <w:pPr>
        <w:spacing w:after="360"/>
      </w:pPr>
      <w:r w:rsidRPr="008E1AE3">
        <w:rPr>
          <w:noProof/>
        </w:rPr>
        <w:drawing>
          <wp:inline distT="0" distB="0" distL="0" distR="0">
            <wp:extent cx="6108700" cy="3670300"/>
            <wp:effectExtent l="0" t="0" r="6350" b="6350"/>
            <wp:docPr id="19" name="Picture 19" descr="This chart displays cumulative payments by development year and year insurance issued for other claim types.&#10;&#10;‘Other claims’ refer to major defects, other loss, or claims with multiple or unspecified claim types.&#10; &#10;Payments for these claims have a longer run-off pattern than non-completion claims. &#10;&#10;As at development year 3, payments for other claims types related to insurance issued years 2014/15, 2011/12 and 2013/14, in that order, are developing less favourably than other issued years. &#10;&#10;2010/11 has the most favourable development for other claims type, but the least favourable development for non-completion claims." title="Other claims – Cumulative payments ($ millions) by year insurance iss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665887" name="Picture 11"/>
                    <pic:cNvPicPr>
                      <a:picLocks noChangeAspect="1" noChangeArrowheads="1"/>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bwMode="auto">
                    <a:xfrm>
                      <a:off x="0" y="0"/>
                      <a:ext cx="6108700" cy="3670300"/>
                    </a:xfrm>
                    <a:prstGeom prst="rect">
                      <a:avLst/>
                    </a:prstGeom>
                    <a:noFill/>
                  </pic:spPr>
                </pic:pic>
              </a:graphicData>
            </a:graphic>
          </wp:inline>
        </w:drawing>
      </w:r>
    </w:p>
    <w:p w:rsidR="00BC7A93" w:rsidRPr="008E1AE3" w:rsidP="00C558D3" w14:paraId="4C1076F6" w14:textId="2FD40C4E">
      <w:pPr>
        <w:spacing w:after="360"/>
      </w:pPr>
      <w:r>
        <w:t>Note: ‘O</w:t>
      </w:r>
      <w:r w:rsidRPr="00BC7A93">
        <w:t>ther claims</w:t>
      </w:r>
      <w:r>
        <w:t>’</w:t>
      </w:r>
      <w:r w:rsidRPr="00BC7A93">
        <w:t xml:space="preserve"> refer</w:t>
      </w:r>
      <w:r>
        <w:t>s</w:t>
      </w:r>
      <w:r w:rsidRPr="00BC7A93">
        <w:t xml:space="preserve"> to major defect claims, other loss claims and claims with multiple claims types or no claim types</w:t>
      </w:r>
      <w:r w:rsidR="00E401DB">
        <w:t>.</w:t>
      </w:r>
    </w:p>
    <w:p w:rsidR="7E503794" w:rsidRPr="008E1AE3" w:rsidP="7E503794" w14:paraId="00954D7E" w14:textId="0A69AD0A">
      <w:pPr>
        <w:pStyle w:val="Heading2"/>
      </w:pPr>
      <w:bookmarkStart w:id="357" w:name="_Toc15488360"/>
      <w:bookmarkEnd w:id="348"/>
      <w:bookmarkEnd w:id="349"/>
      <w:bookmarkEnd w:id="350"/>
      <w:bookmarkEnd w:id="351"/>
      <w:bookmarkEnd w:id="352"/>
      <w:bookmarkEnd w:id="353"/>
      <w:bookmarkEnd w:id="354"/>
      <w:bookmarkEnd w:id="355"/>
      <w:r w:rsidRPr="008E1AE3">
        <w:t>7</w:t>
      </w:r>
      <w:r w:rsidRPr="008E1AE3">
        <w:t xml:space="preserve">. </w:t>
      </w:r>
      <w:r w:rsidRPr="008E1AE3" w:rsidR="003D0877">
        <w:t>Premiums and c</w:t>
      </w:r>
      <w:r w:rsidRPr="008E1AE3">
        <w:t xml:space="preserve">laim </w:t>
      </w:r>
      <w:r w:rsidRPr="008E1AE3" w:rsidR="003D0877">
        <w:t>costs</w:t>
      </w:r>
      <w:bookmarkEnd w:id="357"/>
    </w:p>
    <w:p w:rsidR="004D55F9" w:rsidRPr="008E1AE3" w:rsidP="004D55F9" w14:paraId="478120E6" w14:textId="77777777">
      <w:pPr>
        <w:shd w:val="clear" w:color="auto" w:fill="DAEEF3" w:themeFill="accent5" w:themeFillTint="33"/>
        <w:rPr>
          <w:b/>
          <w:bCs/>
        </w:rPr>
      </w:pPr>
      <w:r w:rsidRPr="008E1AE3">
        <w:rPr>
          <w:b/>
          <w:bCs/>
        </w:rPr>
        <w:t>Key comments:</w:t>
      </w:r>
    </w:p>
    <w:p w:rsidR="004D55F9" w:rsidRPr="008E1AE3" w:rsidP="002D1930" w14:paraId="3FD7F2D1" w14:textId="3FEA083B">
      <w:pPr>
        <w:pStyle w:val="ListParagraph"/>
        <w:numPr>
          <w:ilvl w:val="0"/>
          <w:numId w:val="17"/>
        </w:numPr>
        <w:shd w:val="clear" w:color="auto" w:fill="DAEEF3" w:themeFill="accent5" w:themeFillTint="33"/>
      </w:pPr>
      <w:r w:rsidRPr="002D1930">
        <w:t xml:space="preserve">The </w:t>
      </w:r>
      <w:r w:rsidR="008A5990">
        <w:t>projected</w:t>
      </w:r>
      <w:r w:rsidRPr="002D1930">
        <w:t xml:space="preserve"> ultimate net claims cost (undiscounted) exceeds premium charged across all years.</w:t>
      </w:r>
    </w:p>
    <w:p w:rsidR="00D306C6" w:rsidRPr="008E1AE3" w:rsidP="00123BE4" w14:paraId="1DD67160" w14:textId="56BF00C1">
      <w:r w:rsidRPr="008E1AE3">
        <w:rPr>
          <w:b/>
          <w:bCs/>
        </w:rPr>
        <w:fldChar w:fldCharType="begin"/>
      </w:r>
      <w:r w:rsidRPr="008E1AE3">
        <w:rPr>
          <w:b/>
          <w:bCs/>
        </w:rPr>
        <w:instrText xml:space="preserve"> REF _Ref5017733 \h </w:instrText>
      </w:r>
      <w:r w:rsidRPr="008E1AE3" w:rsidR="00144AC5">
        <w:rPr>
          <w:b/>
          <w:bCs/>
        </w:rPr>
        <w:instrText xml:space="preserve"> \* MERGEFORMAT </w:instrText>
      </w:r>
      <w:r w:rsidRPr="008E1AE3">
        <w:rPr>
          <w:b/>
          <w:bCs/>
        </w:rPr>
        <w:fldChar w:fldCharType="separate"/>
      </w:r>
      <w:r w:rsidRPr="00363D25" w:rsidR="00363D25">
        <w:t xml:space="preserve">Figure </w:t>
      </w:r>
      <w:r w:rsidR="00363D25">
        <w:rPr>
          <w:noProof/>
        </w:rPr>
        <w:t>34</w:t>
      </w:r>
      <w:r w:rsidRPr="008E1AE3">
        <w:rPr>
          <w:b/>
          <w:bCs/>
        </w:rPr>
        <w:fldChar w:fldCharType="end"/>
      </w:r>
      <w:r w:rsidRPr="008E1AE3">
        <w:rPr>
          <w:bCs/>
        </w:rPr>
        <w:t xml:space="preserve"> </w:t>
      </w:r>
      <w:r w:rsidRPr="008E1AE3" w:rsidR="00144AC5">
        <w:rPr>
          <w:bCs/>
        </w:rPr>
        <w:t>shows</w:t>
      </w:r>
      <w:r w:rsidRPr="008E1AE3" w:rsidR="00144AC5">
        <w:rPr>
          <w:b/>
          <w:bCs/>
        </w:rPr>
        <w:t xml:space="preserve"> </w:t>
      </w:r>
      <w:r w:rsidRPr="008E1AE3" w:rsidR="00144AC5">
        <w:t xml:space="preserve">the </w:t>
      </w:r>
      <w:r w:rsidRPr="008E1AE3" w:rsidR="00402045">
        <w:t>net claim payments</w:t>
      </w:r>
      <w:r w:rsidRPr="008E1AE3">
        <w:t xml:space="preserve">, projected net outstanding cost </w:t>
      </w:r>
      <w:r w:rsidRPr="008E1AE3" w:rsidR="00402045">
        <w:t xml:space="preserve">and </w:t>
      </w:r>
      <w:r w:rsidRPr="008E1AE3">
        <w:t>premium excluding GST</w:t>
      </w:r>
      <w:r w:rsidR="00A0082D">
        <w:t xml:space="preserve">, </w:t>
      </w:r>
      <w:r w:rsidR="00503429">
        <w:t xml:space="preserve">stamp </w:t>
      </w:r>
      <w:r w:rsidR="00A0082D">
        <w:t>duty</w:t>
      </w:r>
      <w:r w:rsidRPr="008E1AE3">
        <w:t xml:space="preserve"> and charges</w:t>
      </w:r>
      <w:r w:rsidRPr="008E1AE3" w:rsidR="00123BE4">
        <w:t xml:space="preserve"> for </w:t>
      </w:r>
      <w:r w:rsidR="00850FC5">
        <w:t>contracts of insurance entered into</w:t>
      </w:r>
      <w:r w:rsidRPr="008E1AE3">
        <w:t xml:space="preserve"> </w:t>
      </w:r>
      <w:r w:rsidRPr="008E1AE3" w:rsidR="00123BE4">
        <w:t>from 201</w:t>
      </w:r>
      <w:r w:rsidRPr="008E1AE3">
        <w:t>0</w:t>
      </w:r>
      <w:r w:rsidRPr="008E1AE3" w:rsidR="00123BE4">
        <w:t>/1</w:t>
      </w:r>
      <w:r w:rsidRPr="008E1AE3">
        <w:t>1</w:t>
      </w:r>
      <w:r w:rsidRPr="008E1AE3" w:rsidR="00123BE4">
        <w:t xml:space="preserve"> to 2017/18. </w:t>
      </w:r>
    </w:p>
    <w:p w:rsidR="00123BE4" w:rsidRPr="008E1AE3" w:rsidP="00123BE4" w14:paraId="4A99B0D7" w14:textId="4F3F9C20">
      <w:r w:rsidRPr="008E1AE3">
        <w:t xml:space="preserve">Note that </w:t>
      </w:r>
      <w:r w:rsidRPr="008E1AE3" w:rsidR="00D306C6">
        <w:t xml:space="preserve">no allowance for discounting </w:t>
      </w:r>
      <w:r w:rsidR="00BA3327">
        <w:t xml:space="preserve">(such as for normal inflation) </w:t>
      </w:r>
      <w:r w:rsidRPr="008E1AE3" w:rsidR="00D306C6">
        <w:t>has been made to these figures. T</w:t>
      </w:r>
      <w:r w:rsidRPr="008E1AE3">
        <w:t xml:space="preserve">he </w:t>
      </w:r>
      <w:r w:rsidRPr="008E1AE3" w:rsidR="00D306C6">
        <w:t xml:space="preserve">net claim payments and projected net outstanding cost </w:t>
      </w:r>
      <w:r w:rsidRPr="008E1AE3">
        <w:t xml:space="preserve">figures are sourced from icare </w:t>
      </w:r>
      <w:r w:rsidR="000056F1">
        <w:t>HBCF</w:t>
      </w:r>
      <w:r w:rsidRPr="008E1AE3">
        <w:t>’s Annual Report Financials 2017/18</w:t>
      </w:r>
      <w:r w:rsidRPr="008E1AE3" w:rsidR="00D306C6">
        <w:t>. The premium figures are sourced from data submitted to SIRA.</w:t>
      </w:r>
    </w:p>
    <w:p w:rsidR="00DA6859" w14:paraId="216FAE2F" w14:textId="77777777">
      <w:pPr>
        <w:spacing w:before="0" w:after="200"/>
        <w:rPr>
          <w:b/>
          <w:noProof/>
        </w:rPr>
      </w:pPr>
      <w:r>
        <w:br w:type="page"/>
      </w:r>
    </w:p>
    <w:p w:rsidR="7E503794" w:rsidRPr="008E1AE3" w:rsidP="00A478D7" w14:paraId="0900819B" w14:textId="573D524F">
      <w:pPr>
        <w:pStyle w:val="Figures"/>
      </w:pPr>
      <w:bookmarkStart w:id="358" w:name="_Ref5017733"/>
      <w:r w:rsidRPr="008E1AE3">
        <w:rPr>
          <w:rFonts w:eastAsia="Gotham Book" w:cs="Gotham Book"/>
        </w:rPr>
        <w:t xml:space="preserve">Figure </w:t>
      </w:r>
      <w:r w:rsidRPr="008E1AE3">
        <w:fldChar w:fldCharType="begin"/>
      </w:r>
      <w:r w:rsidRPr="008E1AE3">
        <w:instrText xml:space="preserve"> SEQ Figure \* ARABIC </w:instrText>
      </w:r>
      <w:r w:rsidRPr="008E1AE3">
        <w:fldChar w:fldCharType="separate"/>
      </w:r>
      <w:r w:rsidR="00363D25">
        <w:t>34</w:t>
      </w:r>
      <w:r w:rsidRPr="008E1AE3">
        <w:fldChar w:fldCharType="end"/>
      </w:r>
      <w:bookmarkEnd w:id="358"/>
      <w:r w:rsidRPr="008E1AE3">
        <w:t>:</w:t>
      </w:r>
      <w:r w:rsidRPr="008E1AE3">
        <w:rPr>
          <w:rFonts w:eastAsia="Gotham Book" w:cs="Gotham Book"/>
        </w:rPr>
        <w:t xml:space="preserve"> </w:t>
      </w:r>
      <w:r w:rsidRPr="008E1AE3" w:rsidR="00CC7F72">
        <w:rPr>
          <w:rFonts w:eastAsia="Gotham Book" w:cs="Gotham Book"/>
        </w:rPr>
        <w:t>N</w:t>
      </w:r>
      <w:r w:rsidRPr="008E1AE3" w:rsidR="00722EDD">
        <w:rPr>
          <w:rFonts w:eastAsia="Gotham Book" w:cs="Gotham Book"/>
        </w:rPr>
        <w:t>et claim payments</w:t>
      </w:r>
      <w:r w:rsidRPr="008E1AE3" w:rsidR="00CC7F72">
        <w:rPr>
          <w:rFonts w:eastAsia="Gotham Book" w:cs="Gotham Book"/>
        </w:rPr>
        <w:t>, projected net outstanding cost</w:t>
      </w:r>
      <w:r w:rsidRPr="008E1AE3" w:rsidR="00722EDD">
        <w:rPr>
          <w:rFonts w:eastAsia="Gotham Book" w:cs="Gotham Book"/>
        </w:rPr>
        <w:t xml:space="preserve"> and </w:t>
      </w:r>
      <w:r w:rsidRPr="008E1AE3" w:rsidR="00D306C6">
        <w:rPr>
          <w:rFonts w:eastAsia="Gotham Book" w:cs="Gotham Book"/>
        </w:rPr>
        <w:t>premium excluding GST</w:t>
      </w:r>
      <w:r w:rsidR="00A3307C">
        <w:rPr>
          <w:rFonts w:eastAsia="Gotham Book" w:cs="Gotham Book"/>
        </w:rPr>
        <w:t xml:space="preserve">, </w:t>
      </w:r>
      <w:r w:rsidR="00503429">
        <w:t xml:space="preserve">stamp </w:t>
      </w:r>
      <w:r w:rsidR="00A0082D">
        <w:rPr>
          <w:rFonts w:eastAsia="Gotham Book" w:cs="Gotham Book"/>
        </w:rPr>
        <w:t>duty</w:t>
      </w:r>
      <w:r w:rsidRPr="008E1AE3" w:rsidR="00A0082D">
        <w:rPr>
          <w:rFonts w:eastAsia="Gotham Book" w:cs="Gotham Book"/>
        </w:rPr>
        <w:t xml:space="preserve"> </w:t>
      </w:r>
      <w:r w:rsidRPr="008E1AE3" w:rsidR="00D306C6">
        <w:rPr>
          <w:rFonts w:eastAsia="Gotham Book" w:cs="Gotham Book"/>
        </w:rPr>
        <w:t>and charges</w:t>
      </w:r>
      <w:r w:rsidRPr="008E1AE3">
        <w:rPr>
          <w:rFonts w:eastAsia="Gotham Book" w:cs="Gotham Book"/>
        </w:rPr>
        <w:t xml:space="preserve"> ($ millions) by certificate</w:t>
      </w:r>
      <w:r w:rsidR="00A3307C">
        <w:rPr>
          <w:rFonts w:eastAsia="Gotham Book" w:cs="Gotham Book"/>
        </w:rPr>
        <w:t>s</w:t>
      </w:r>
      <w:r w:rsidRPr="008E1AE3">
        <w:rPr>
          <w:rFonts w:eastAsia="Gotham Book" w:cs="Gotham Book"/>
        </w:rPr>
        <w:t xml:space="preserve"> </w:t>
      </w:r>
      <w:r w:rsidR="00A3307C">
        <w:rPr>
          <w:rFonts w:eastAsia="Gotham Book" w:cs="Gotham Book"/>
        </w:rPr>
        <w:t xml:space="preserve">of insurance </w:t>
      </w:r>
      <w:r w:rsidRPr="008E1AE3">
        <w:rPr>
          <w:rFonts w:eastAsia="Gotham Book" w:cs="Gotham Book"/>
        </w:rPr>
        <w:t>issued year</w:t>
      </w:r>
    </w:p>
    <w:p w:rsidR="7E503794" w:rsidRPr="008E1AE3" w:rsidP="7E503794" w14:paraId="13F67072" w14:textId="2BC80F10">
      <w:r w:rsidRPr="008E1AE3">
        <w:rPr>
          <w:noProof/>
        </w:rPr>
        <w:drawing>
          <wp:inline distT="0" distB="0" distL="0" distR="0">
            <wp:extent cx="6108700" cy="3670300"/>
            <wp:effectExtent l="0" t="0" r="6350" b="6350"/>
            <wp:docPr id="17" name="Picture 17" descr="This chart displays net claim payments, projected net outstanding cost and premium excluding GST and charges for certificate issued years from 2010/11 to 2017/18. The projected ultimate net claims cost is calculated as the sum of net claim payments and projected net outstanding cost.&#10;&#10;The projected ultimate net claims cost (undiscounted) exceeds premium charged across all years. The difference between projected ultimate net claims costs and premium charged is higher for more recent certificate issued years. For certificates issued in 2017/18 the projected ultimate net claims cost is $47 million more than premium charged. &#10;&#10;Projected net outstanding cost constitutes approximately 30% of projected ultimate net claims cost for the 2010/11 certificate issued year compared to almost 100% for the 2017/18 certificate issued year as at 30 June 2018 as claims have yet to develop for more recent certificate issue years.&#10;" title="Net claim payments, projected net outstanding cost and premium excluding GST and charges ($ millions) by certificate issued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7358" name="Picture 10"/>
                    <pic:cNvPicPr>
                      <a:picLocks noChangeAspect="1" noChangeArrowheads="1"/>
                    </pic:cNvPicPr>
                  </pic:nvPicPr>
                  <pic:blipFill>
                    <a:blip xmlns:r="http://schemas.openxmlformats.org/officeDocument/2006/relationships" r:embed="rId52">
                      <a:extLst>
                        <a:ext xmlns:a="http://schemas.openxmlformats.org/drawingml/2006/main" uri="{28A0092B-C50C-407E-A947-70E740481C1C}">
                          <a14:useLocalDpi xmlns:a14="http://schemas.microsoft.com/office/drawing/2010/main" val="0"/>
                        </a:ext>
                      </a:extLst>
                    </a:blip>
                    <a:stretch>
                      <a:fillRect/>
                    </a:stretch>
                  </pic:blipFill>
                  <pic:spPr bwMode="auto">
                    <a:xfrm>
                      <a:off x="0" y="0"/>
                      <a:ext cx="6108700" cy="3670300"/>
                    </a:xfrm>
                    <a:prstGeom prst="rect">
                      <a:avLst/>
                    </a:prstGeom>
                    <a:noFill/>
                  </pic:spPr>
                </pic:pic>
              </a:graphicData>
            </a:graphic>
          </wp:inline>
        </w:drawing>
      </w:r>
    </w:p>
    <w:p w:rsidR="009E5BB2" w:rsidRPr="008E1AE3" w:rsidP="00DE3EF5" w14:paraId="7679B979" w14:textId="2240B063">
      <w:r w:rsidRPr="00E67BC1">
        <w:t>Assuming icare’s projected</w:t>
      </w:r>
      <w:r w:rsidR="00BC11EB">
        <w:t xml:space="preserve"> underwriting loss of $47m more than premium charged</w:t>
      </w:r>
      <w:r w:rsidRPr="00E67BC1">
        <w:t xml:space="preserve">, this implies a scheme </w:t>
      </w:r>
      <w:r w:rsidR="00BC11EB">
        <w:t xml:space="preserve">projected net outstanding cost </w:t>
      </w:r>
      <w:r w:rsidRPr="00E67BC1">
        <w:t xml:space="preserve">of $179m (excluding run-off insurers) for FY 2017/18. </w:t>
      </w:r>
      <w:r w:rsidR="002A7EBA">
        <w:t>This equates to an estimated</w:t>
      </w:r>
      <w:r w:rsidRPr="00E67BC1">
        <w:t xml:space="preserve"> underwriting loss ratio of 136% ($179m projected </w:t>
      </w:r>
      <w:r w:rsidR="00346CDD">
        <w:t xml:space="preserve">outstanding </w:t>
      </w:r>
      <w:r w:rsidRPr="00E67BC1">
        <w:t>claims cost / $132m premium c</w:t>
      </w:r>
      <w:r w:rsidR="005E5D34">
        <w:t>harged</w:t>
      </w:r>
      <w:r w:rsidRPr="00E67BC1">
        <w:t xml:space="preserve">). icare published in its Insurance and Care NSW Financial Statements </w:t>
      </w:r>
      <w:r w:rsidR="004061CB">
        <w:t xml:space="preserve">2017-18 </w:t>
      </w:r>
      <w:r w:rsidRPr="00E67BC1">
        <w:t>that during 2017/18 it received $138.4m in funding relating to reimbursements of prior year losses and an additional $43m in respect of policies written post 1 July 2018.</w:t>
      </w:r>
      <w:r w:rsidRPr="008E1AE3">
        <w:br w:type="page"/>
      </w:r>
    </w:p>
    <w:p w:rsidR="004A6998" w:rsidRPr="008E1AE3" w:rsidP="004A6998" w14:paraId="6699C6C4" w14:textId="1E094611">
      <w:pPr>
        <w:pStyle w:val="Heading1"/>
      </w:pPr>
      <w:bookmarkStart w:id="359" w:name="_Toc518654986"/>
      <w:bookmarkStart w:id="360" w:name="_Toc530651501"/>
      <w:bookmarkStart w:id="361" w:name="_Toc530663778"/>
      <w:bookmarkStart w:id="362" w:name="_Toc530672090"/>
      <w:bookmarkStart w:id="363" w:name="_Toc530672532"/>
      <w:bookmarkStart w:id="364" w:name="_Toc530674198"/>
      <w:bookmarkStart w:id="365" w:name="_Toc531180104"/>
      <w:bookmarkStart w:id="366" w:name="_Toc531181943"/>
      <w:bookmarkStart w:id="367" w:name="_Toc2073658"/>
      <w:bookmarkStart w:id="368" w:name="_Toc2083978"/>
      <w:bookmarkStart w:id="369" w:name="_Toc2085901"/>
      <w:bookmarkStart w:id="370" w:name="_Toc4144943"/>
      <w:bookmarkStart w:id="371" w:name="_Toc4483531"/>
      <w:bookmarkStart w:id="372" w:name="_Toc4485222"/>
      <w:bookmarkStart w:id="373" w:name="_Toc15488361"/>
      <w:r w:rsidRPr="008E1AE3">
        <w:t xml:space="preserve">Part 2: </w:t>
      </w:r>
      <w:bookmarkEnd w:id="359"/>
      <w:r w:rsidRPr="008E1AE3" w:rsidR="005276BA">
        <w:t xml:space="preserve">Claims information for policies issued prior to </w:t>
      </w:r>
      <w:r w:rsidR="00D56655">
        <w:t>1</w:t>
      </w:r>
      <w:r w:rsidR="004A5EE3">
        <w:t xml:space="preserve"> </w:t>
      </w:r>
      <w:r w:rsidRPr="008E1AE3" w:rsidR="005276BA">
        <w:t>July 2010</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rsidR="00026305" w:rsidRPr="008E1AE3" w:rsidP="00FA4D98" w14:paraId="346B3F3F" w14:textId="77A9D223">
      <w:pPr>
        <w:rPr>
          <w:noProof/>
        </w:rPr>
      </w:pPr>
      <w:r w:rsidRPr="008E1AE3">
        <w:rPr>
          <w:noProof/>
        </w:rPr>
        <w:t xml:space="preserve">As noted </w:t>
      </w:r>
      <w:r w:rsidRPr="008E1AE3" w:rsidR="00D528A1">
        <w:rPr>
          <w:noProof/>
        </w:rPr>
        <w:t xml:space="preserve">in </w:t>
      </w:r>
      <w:r w:rsidRPr="008E1AE3">
        <w:rPr>
          <w:noProof/>
        </w:rPr>
        <w:t xml:space="preserve">the preamble, </w:t>
      </w:r>
      <w:r w:rsidRPr="008E1AE3" w:rsidR="005276BA">
        <w:rPr>
          <w:noProof/>
        </w:rPr>
        <w:t xml:space="preserve">from 1 July 2002 </w:t>
      </w:r>
      <w:r w:rsidRPr="008E1AE3">
        <w:rPr>
          <w:noProof/>
        </w:rPr>
        <w:t xml:space="preserve">to </w:t>
      </w:r>
      <w:r w:rsidRPr="008E1AE3" w:rsidR="005276BA">
        <w:rPr>
          <w:noProof/>
        </w:rPr>
        <w:t xml:space="preserve">30 </w:t>
      </w:r>
      <w:r w:rsidRPr="008E1AE3">
        <w:rPr>
          <w:noProof/>
        </w:rPr>
        <w:t xml:space="preserve">June 2010 </w:t>
      </w:r>
      <w:r w:rsidRPr="008E1AE3" w:rsidR="00253AA7">
        <w:rPr>
          <w:noProof/>
        </w:rPr>
        <w:t>NSW</w:t>
      </w:r>
      <w:r w:rsidR="006860BA">
        <w:rPr>
          <w:noProof/>
        </w:rPr>
        <w:t>,</w:t>
      </w:r>
      <w:r w:rsidRPr="008E1AE3" w:rsidR="00253AA7">
        <w:rPr>
          <w:noProof/>
        </w:rPr>
        <w:t xml:space="preserve"> HBC </w:t>
      </w:r>
      <w:r w:rsidR="005A5201">
        <w:rPr>
          <w:noProof/>
        </w:rPr>
        <w:t>insurance</w:t>
      </w:r>
      <w:r w:rsidRPr="008E1AE3" w:rsidR="005A5201">
        <w:rPr>
          <w:noProof/>
        </w:rPr>
        <w:t xml:space="preserve"> </w:t>
      </w:r>
      <w:r w:rsidRPr="008E1AE3">
        <w:rPr>
          <w:noProof/>
        </w:rPr>
        <w:t>was written by insurers approved by the Minister. The</w:t>
      </w:r>
      <w:r w:rsidRPr="008E1AE3" w:rsidR="00D528A1">
        <w:rPr>
          <w:noProof/>
        </w:rPr>
        <w:t>se</w:t>
      </w:r>
      <w:r w:rsidRPr="008E1AE3">
        <w:rPr>
          <w:noProof/>
        </w:rPr>
        <w:t xml:space="preserve"> insurers</w:t>
      </w:r>
      <w:r w:rsidRPr="008E1AE3" w:rsidR="00D528A1">
        <w:rPr>
          <w:noProof/>
        </w:rPr>
        <w:t xml:space="preserve"> are referred to as</w:t>
      </w:r>
      <w:r w:rsidRPr="008E1AE3">
        <w:rPr>
          <w:noProof/>
        </w:rPr>
        <w:t xml:space="preserve"> </w:t>
      </w:r>
      <w:r w:rsidRPr="008E1AE3" w:rsidR="00D528A1">
        <w:rPr>
          <w:noProof/>
        </w:rPr>
        <w:t>‘</w:t>
      </w:r>
      <w:r w:rsidRPr="008E1AE3">
        <w:rPr>
          <w:noProof/>
        </w:rPr>
        <w:t>runoff insurers</w:t>
      </w:r>
      <w:r w:rsidRPr="008E1AE3" w:rsidR="00D528A1">
        <w:rPr>
          <w:noProof/>
        </w:rPr>
        <w:t>’ in this report. Whil</w:t>
      </w:r>
      <w:r w:rsidRPr="008E1AE3" w:rsidR="00AD50E4">
        <w:rPr>
          <w:noProof/>
        </w:rPr>
        <w:t>st</w:t>
      </w:r>
      <w:r w:rsidRPr="008E1AE3" w:rsidR="00D528A1">
        <w:rPr>
          <w:noProof/>
        </w:rPr>
        <w:t xml:space="preserve"> </w:t>
      </w:r>
      <w:r w:rsidRPr="008E1AE3" w:rsidR="005276BA">
        <w:rPr>
          <w:noProof/>
        </w:rPr>
        <w:t xml:space="preserve">runoff </w:t>
      </w:r>
      <w:r w:rsidRPr="008E1AE3" w:rsidR="231C63F1">
        <w:rPr>
          <w:noProof/>
        </w:rPr>
        <w:t>insurers</w:t>
      </w:r>
      <w:r w:rsidRPr="008E1AE3" w:rsidR="005276BA">
        <w:rPr>
          <w:noProof/>
        </w:rPr>
        <w:t xml:space="preserve"> </w:t>
      </w:r>
      <w:r w:rsidRPr="008E1AE3">
        <w:rPr>
          <w:noProof/>
        </w:rPr>
        <w:t xml:space="preserve">ceased writing </w:t>
      </w:r>
      <w:r w:rsidRPr="008E1AE3" w:rsidR="005276BA">
        <w:rPr>
          <w:noProof/>
        </w:rPr>
        <w:t xml:space="preserve">HBC </w:t>
      </w:r>
      <w:r w:rsidRPr="008E1AE3">
        <w:rPr>
          <w:noProof/>
        </w:rPr>
        <w:t xml:space="preserve">business on or before 30 June 2010, </w:t>
      </w:r>
      <w:r w:rsidRPr="008E1AE3" w:rsidR="005276BA">
        <w:rPr>
          <w:noProof/>
        </w:rPr>
        <w:t>they</w:t>
      </w:r>
      <w:r w:rsidRPr="008E1AE3" w:rsidR="00D528A1">
        <w:rPr>
          <w:noProof/>
        </w:rPr>
        <w:t xml:space="preserve"> </w:t>
      </w:r>
      <w:r w:rsidRPr="008E1AE3">
        <w:rPr>
          <w:noProof/>
        </w:rPr>
        <w:t xml:space="preserve">continue to manage and settle claims on policies written up until that date. </w:t>
      </w:r>
    </w:p>
    <w:p w:rsidR="00096F36" w:rsidRPr="008E1AE3" w:rsidP="00096F36" w14:paraId="2E9BD04D" w14:textId="60E8C785">
      <w:pPr>
        <w:pStyle w:val="Heading2"/>
      </w:pPr>
      <w:bookmarkStart w:id="374" w:name="_Toc2073659"/>
      <w:bookmarkStart w:id="375" w:name="_Toc2083979"/>
      <w:bookmarkStart w:id="376" w:name="_Toc2085902"/>
      <w:bookmarkStart w:id="377" w:name="_Toc4144944"/>
      <w:bookmarkStart w:id="378" w:name="_Toc4483532"/>
      <w:bookmarkStart w:id="379" w:name="_Toc4485223"/>
      <w:bookmarkStart w:id="380" w:name="_Toc15488362"/>
      <w:r w:rsidRPr="008E1AE3">
        <w:t xml:space="preserve">Number of runoff </w:t>
      </w:r>
      <w:r w:rsidRPr="008E1AE3" w:rsidR="00B278B5">
        <w:t xml:space="preserve">insurer </w:t>
      </w:r>
      <w:r w:rsidRPr="008E1AE3" w:rsidR="00B61DD3">
        <w:t xml:space="preserve">notifications </w:t>
      </w:r>
      <w:r w:rsidR="00B61DD3">
        <w:t>of loss</w:t>
      </w:r>
      <w:r w:rsidRPr="008E1AE3" w:rsidR="00B61DD3">
        <w:t xml:space="preserve"> </w:t>
      </w:r>
      <w:r w:rsidR="00B61DD3">
        <w:t xml:space="preserve">and </w:t>
      </w:r>
      <w:r w:rsidRPr="008E1AE3">
        <w:t>claims</w:t>
      </w:r>
      <w:bookmarkEnd w:id="374"/>
      <w:bookmarkEnd w:id="375"/>
      <w:bookmarkEnd w:id="376"/>
      <w:bookmarkEnd w:id="377"/>
      <w:bookmarkEnd w:id="378"/>
      <w:r w:rsidRPr="008E1AE3" w:rsidR="00F361BE">
        <w:t xml:space="preserve"> </w:t>
      </w:r>
      <w:r w:rsidR="009F24AC">
        <w:t xml:space="preserve">lodged </w:t>
      </w:r>
      <w:r w:rsidRPr="008E1AE3" w:rsidR="00F361BE">
        <w:t>reported</w:t>
      </w:r>
      <w:bookmarkEnd w:id="379"/>
      <w:bookmarkEnd w:id="380"/>
    </w:p>
    <w:p w:rsidR="00BA06C1" w:rsidRPr="008E1AE3" w:rsidP="00B17B74" w14:paraId="46E8A0C8" w14:textId="77777777">
      <w:pPr>
        <w:shd w:val="clear" w:color="auto" w:fill="DAEEF3" w:themeFill="accent5" w:themeFillTint="33"/>
        <w:rPr>
          <w:b/>
          <w:bCs/>
        </w:rPr>
      </w:pPr>
      <w:r w:rsidRPr="008E1AE3">
        <w:rPr>
          <w:b/>
          <w:bCs/>
        </w:rPr>
        <w:t>Key comments:</w:t>
      </w:r>
    </w:p>
    <w:p w:rsidR="00482408" w:rsidRPr="00DD2EC9" w:rsidP="00B17B74" w14:paraId="5ACE0507" w14:textId="31B850B4">
      <w:pPr>
        <w:pStyle w:val="ListParagraph"/>
        <w:numPr>
          <w:ilvl w:val="0"/>
          <w:numId w:val="17"/>
        </w:numPr>
        <w:shd w:val="clear" w:color="auto" w:fill="DAEEF3" w:themeFill="accent5" w:themeFillTint="33"/>
      </w:pPr>
      <w:r>
        <w:t>25</w:t>
      </w:r>
      <w:r w:rsidRPr="008E1AE3" w:rsidR="00913AA2">
        <w:t xml:space="preserve"> </w:t>
      </w:r>
      <w:r w:rsidRPr="008E1AE3" w:rsidR="0048107B">
        <w:t>notification</w:t>
      </w:r>
      <w:r w:rsidRPr="008E1AE3" w:rsidR="0096578E">
        <w:t>s</w:t>
      </w:r>
      <w:r w:rsidRPr="008E1AE3" w:rsidR="003A5428">
        <w:t xml:space="preserve"> </w:t>
      </w:r>
      <w:r w:rsidR="00A0082D">
        <w:t xml:space="preserve">of </w:t>
      </w:r>
      <w:r w:rsidRPr="00DD2EC9" w:rsidR="00A0082D">
        <w:t xml:space="preserve">loss </w:t>
      </w:r>
      <w:r w:rsidRPr="00DD2EC9" w:rsidR="000500E5">
        <w:t>in 2017/18</w:t>
      </w:r>
      <w:r w:rsidRPr="00DD2EC9" w:rsidR="00425505">
        <w:t xml:space="preserve"> down from </w:t>
      </w:r>
      <w:r w:rsidRPr="00DD2EC9">
        <w:t>104</w:t>
      </w:r>
      <w:r w:rsidRPr="00DD2EC9" w:rsidR="00E65656">
        <w:t xml:space="preserve"> in </w:t>
      </w:r>
      <w:r w:rsidRPr="00DD2EC9" w:rsidR="00C55943">
        <w:t>2016/17</w:t>
      </w:r>
      <w:r w:rsidRPr="00DD2EC9" w:rsidR="00905DB5">
        <w:t>.</w:t>
      </w:r>
      <w:r w:rsidRPr="00DD2EC9" w:rsidR="000500E5">
        <w:t xml:space="preserve"> </w:t>
      </w:r>
    </w:p>
    <w:p w:rsidR="00BA06C1" w:rsidRPr="008E1AE3" w:rsidP="00C53DBD" w14:paraId="656D0513" w14:textId="4BD5118D">
      <w:pPr>
        <w:pStyle w:val="ListParagraph"/>
        <w:numPr>
          <w:ilvl w:val="0"/>
          <w:numId w:val="17"/>
        </w:numPr>
        <w:shd w:val="clear" w:color="auto" w:fill="DAEEF3" w:themeFill="accent5" w:themeFillTint="33"/>
      </w:pPr>
      <w:r w:rsidRPr="00947962">
        <w:t>The number of claims</w:t>
      </w:r>
      <w:r w:rsidRPr="00BC36EA">
        <w:t xml:space="preserve"> lodged (i.e. notifications of loss w</w:t>
      </w:r>
      <w:r w:rsidRPr="00B17B74">
        <w:t xml:space="preserve">hich have </w:t>
      </w:r>
      <w:r w:rsidRPr="00B17B74">
        <w:rPr>
          <w:rFonts w:eastAsiaTheme="minorEastAsia"/>
        </w:rPr>
        <w:t xml:space="preserve">progressed to become </w:t>
      </w:r>
      <w:r w:rsidRPr="00DD2EC9">
        <w:rPr>
          <w:rFonts w:eastAsiaTheme="minorEastAsia"/>
        </w:rPr>
        <w:t>claim</w:t>
      </w:r>
      <w:r w:rsidR="00D60E20">
        <w:rPr>
          <w:rFonts w:eastAsiaTheme="minorEastAsia"/>
        </w:rPr>
        <w:t xml:space="preserve">s </w:t>
      </w:r>
      <w:r w:rsidRPr="00DD2EC9">
        <w:rPr>
          <w:rFonts w:eastAsiaTheme="minorEastAsia"/>
        </w:rPr>
        <w:t>lodged</w:t>
      </w:r>
      <w:r w:rsidRPr="00DD2EC9">
        <w:t xml:space="preserve">), hereinafter referred to as ‘claims’, has decreased by 75%, dropping from 72 in 2016/17 to 18 in 2017/18. </w:t>
      </w:r>
      <w:r w:rsidRPr="008E1AE3" w:rsidR="00A14EC6">
        <w:t>14 (</w:t>
      </w:r>
      <w:r w:rsidR="00456316">
        <w:t xml:space="preserve">or </w:t>
      </w:r>
      <w:r w:rsidRPr="008E1AE3" w:rsidR="00D26C07">
        <w:t>78</w:t>
      </w:r>
      <w:r w:rsidRPr="008E1AE3" w:rsidR="003F6A5F">
        <w:t>%</w:t>
      </w:r>
      <w:r w:rsidRPr="008E1AE3" w:rsidR="006033A4">
        <w:t xml:space="preserve">) of </w:t>
      </w:r>
      <w:r w:rsidRPr="008E1AE3" w:rsidR="009068CB">
        <w:t xml:space="preserve">the </w:t>
      </w:r>
      <w:r w:rsidRPr="008E1AE3" w:rsidR="00B86122">
        <w:t xml:space="preserve">claims </w:t>
      </w:r>
      <w:r w:rsidRPr="008E1AE3" w:rsidR="00B70DAC">
        <w:t xml:space="preserve">in </w:t>
      </w:r>
      <w:r w:rsidRPr="008E1AE3" w:rsidR="00456316">
        <w:t>in 2017/18</w:t>
      </w:r>
      <w:r w:rsidR="00456316">
        <w:t xml:space="preserve"> </w:t>
      </w:r>
      <w:r w:rsidRPr="008E1AE3" w:rsidR="006033A4">
        <w:t>related to new single dwellings.</w:t>
      </w:r>
    </w:p>
    <w:p w:rsidR="00CD259E" w:rsidRPr="008E1AE3" w:rsidP="00C53DBD" w14:paraId="030CFD43" w14:textId="480F201E">
      <w:pPr>
        <w:pStyle w:val="ListParagraph"/>
        <w:numPr>
          <w:ilvl w:val="0"/>
          <w:numId w:val="17"/>
        </w:numPr>
        <w:shd w:val="clear" w:color="auto" w:fill="DAEEF3" w:themeFill="accent5" w:themeFillTint="33"/>
      </w:pPr>
      <w:r w:rsidRPr="008E1AE3">
        <w:t>I</w:t>
      </w:r>
      <w:r w:rsidRPr="008E1AE3" w:rsidR="00CD645D">
        <w:t>nsolvency account</w:t>
      </w:r>
      <w:r w:rsidRPr="008E1AE3" w:rsidR="008C47BE">
        <w:t>ed</w:t>
      </w:r>
      <w:r w:rsidRPr="008E1AE3" w:rsidR="00CD645D">
        <w:t xml:space="preserve"> for </w:t>
      </w:r>
      <w:r w:rsidRPr="008E1AE3" w:rsidR="0067712A">
        <w:t>94</w:t>
      </w:r>
      <w:r w:rsidRPr="008E1AE3" w:rsidR="003F6A5F">
        <w:t>%</w:t>
      </w:r>
      <w:r w:rsidRPr="008E1AE3">
        <w:t xml:space="preserve"> of runoff</w:t>
      </w:r>
      <w:r w:rsidRPr="008E1AE3" w:rsidR="000B1B98">
        <w:t xml:space="preserve"> claims in 2017/18.</w:t>
      </w:r>
    </w:p>
    <w:p w:rsidR="0096578E" w:rsidRPr="008E1AE3" w:rsidP="00C53DBD" w14:paraId="5DE6E82A" w14:textId="79266A36">
      <w:pPr>
        <w:pStyle w:val="ListParagraph"/>
        <w:numPr>
          <w:ilvl w:val="0"/>
          <w:numId w:val="17"/>
        </w:numPr>
        <w:shd w:val="clear" w:color="auto" w:fill="DAEEF3" w:themeFill="accent5" w:themeFillTint="33"/>
      </w:pPr>
      <w:r w:rsidRPr="004065E6">
        <w:t>The volume of runoff insurer claims is expected to continue the downward trend as remaining policies expire</w:t>
      </w:r>
      <w:r w:rsidR="008A5990">
        <w:t>.</w:t>
      </w:r>
    </w:p>
    <w:p w:rsidR="00720E85" w:rsidRPr="00B17B74" w:rsidP="00720E85" w14:paraId="5897DA50" w14:textId="1D6CEF49">
      <w:bookmarkStart w:id="381" w:name="OLE_LINK5"/>
      <w:bookmarkStart w:id="382" w:name="OLE_LINK3"/>
      <w:bookmarkStart w:id="383" w:name="_Toc531180105"/>
      <w:bookmarkStart w:id="384" w:name="_Toc531181944"/>
      <w:bookmarkStart w:id="385" w:name="_Toc2073660"/>
      <w:bookmarkStart w:id="386" w:name="_Toc2083980"/>
      <w:bookmarkStart w:id="387" w:name="_Toc2085903"/>
      <w:bookmarkStart w:id="388" w:name="_Toc4144945"/>
      <w:r>
        <w:rPr>
          <w:rFonts w:eastAsiaTheme="minorEastAsia"/>
        </w:rPr>
        <w:t xml:space="preserve">Home owners can notify their insurer that they have suffered a loss in order to preserve their ability to claim beyond the period of insurance in some circumstances. </w:t>
      </w:r>
      <w:r w:rsidR="00D251EB">
        <w:t>N</w:t>
      </w:r>
      <w:r w:rsidRPr="00B17B74">
        <w:rPr>
          <w:rFonts w:eastAsiaTheme="minorEastAsia"/>
        </w:rPr>
        <w:t xml:space="preserve">ot all notifications </w:t>
      </w:r>
      <w:r w:rsidRPr="00B17B74">
        <w:t xml:space="preserve">of loss </w:t>
      </w:r>
      <w:r w:rsidRPr="00B17B74">
        <w:rPr>
          <w:rFonts w:eastAsiaTheme="minorEastAsia"/>
        </w:rPr>
        <w:t xml:space="preserve">necessarily progress to become </w:t>
      </w:r>
      <w:r w:rsidR="00F835AE">
        <w:rPr>
          <w:rFonts w:eastAsiaTheme="minorEastAsia"/>
        </w:rPr>
        <w:t xml:space="preserve">a </w:t>
      </w:r>
      <w:r w:rsidRPr="00B17B74">
        <w:rPr>
          <w:rFonts w:eastAsiaTheme="minorEastAsia"/>
        </w:rPr>
        <w:t xml:space="preserve">claim lodged. Notifications </w:t>
      </w:r>
      <w:r w:rsidRPr="00B17B74">
        <w:t xml:space="preserve">of loss </w:t>
      </w:r>
      <w:r w:rsidRPr="00B17B74">
        <w:rPr>
          <w:rFonts w:eastAsiaTheme="minorEastAsia"/>
        </w:rPr>
        <w:t>can be finalised with no claim lodgement</w:t>
      </w:r>
      <w:r w:rsidRPr="00B17B74">
        <w:t>, for example if a home owner succeeds in obtaining remedy from their builder while they are still solvent.</w:t>
      </w:r>
    </w:p>
    <w:p w:rsidR="00720E85" w:rsidP="00720E85" w14:paraId="549F11F8" w14:textId="29425600">
      <w:r w:rsidRPr="00B17B74">
        <w:t xml:space="preserve">Apart from Figure 35, which relates to notifications of loss </w:t>
      </w:r>
      <w:r w:rsidRPr="00BC36EA">
        <w:t>(including notifications</w:t>
      </w:r>
      <w:r w:rsidRPr="00B17B74">
        <w:t xml:space="preserve"> of loss which have </w:t>
      </w:r>
      <w:r w:rsidRPr="00BC36EA">
        <w:rPr>
          <w:rFonts w:eastAsiaTheme="minorEastAsia"/>
        </w:rPr>
        <w:t xml:space="preserve">progressed to become </w:t>
      </w:r>
      <w:r w:rsidR="00F835AE">
        <w:rPr>
          <w:rFonts w:eastAsiaTheme="minorEastAsia"/>
        </w:rPr>
        <w:t xml:space="preserve">a </w:t>
      </w:r>
      <w:r w:rsidRPr="00BC36EA">
        <w:rPr>
          <w:rFonts w:eastAsiaTheme="minorEastAsia"/>
        </w:rPr>
        <w:t>claim lodged)</w:t>
      </w:r>
      <w:r w:rsidRPr="00B17B74">
        <w:t xml:space="preserve">, all figures in this section </w:t>
      </w:r>
      <w:r w:rsidR="00D251EB">
        <w:t xml:space="preserve">of the scheme report </w:t>
      </w:r>
      <w:r w:rsidRPr="00B17B74">
        <w:t>relate only to claims lodged</w:t>
      </w:r>
      <w:r w:rsidRPr="00B17B74" w:rsidR="0040699E">
        <w:t xml:space="preserve"> based on year of notification of loss</w:t>
      </w:r>
      <w:r w:rsidRPr="00B17B74">
        <w:t>.</w:t>
      </w:r>
      <w:bookmarkEnd w:id="381"/>
      <w:r w:rsidRPr="005937AC">
        <w:t xml:space="preserve"> </w:t>
      </w:r>
    </w:p>
    <w:p w:rsidR="00720E85" w:rsidP="00720E85" w14:paraId="758127F0" w14:textId="7B519A09">
      <w:bookmarkStart w:id="389" w:name="OLE_LINK4"/>
      <w:bookmarkEnd w:id="382"/>
      <w:r>
        <w:t xml:space="preserve">Note that the count of the number of claims lodged is determined by their recorded liability status as at the current reporting date of 30 June 2018. At a subsequent </w:t>
      </w:r>
      <w:r w:rsidRPr="00026CBA">
        <w:t>reporting date</w:t>
      </w:r>
      <w:r>
        <w:t>, say as at 3</w:t>
      </w:r>
      <w:r w:rsidR="00BC36EA">
        <w:t>0</w:t>
      </w:r>
      <w:r>
        <w:t xml:space="preserve"> </w:t>
      </w:r>
      <w:r w:rsidR="00BC36EA">
        <w:t>June</w:t>
      </w:r>
      <w:r>
        <w:t xml:space="preserve"> 201</w:t>
      </w:r>
      <w:r w:rsidR="00BC36EA">
        <w:t>9</w:t>
      </w:r>
      <w:r>
        <w:t>, the recorded liability status of some notifications of loss may change as they progressed to become claims lodged, due to changes in the liability decision by the insurer. This would result in a different count of number of claims lodged compared to the historical data for past quarters as reported in the 30 June 2018 report, particularly for more recent quarters.</w:t>
      </w:r>
    </w:p>
    <w:p w:rsidR="00720E85" w:rsidRPr="005937AC" w:rsidP="00C558D3" w14:paraId="716099FC" w14:textId="77777777">
      <w:pPr>
        <w:spacing w:after="360"/>
      </w:pPr>
      <w:bookmarkEnd w:id="389"/>
    </w:p>
    <w:p w:rsidR="00541261" w:rsidRPr="008E1AE3" w:rsidP="00CB3964" w14:paraId="62849C16" w14:textId="4D8C386C">
      <w:pPr>
        <w:pStyle w:val="Figures"/>
      </w:pPr>
      <w:bookmarkStart w:id="390" w:name="_Ref4406707"/>
      <w:bookmarkEnd w:id="383"/>
      <w:bookmarkEnd w:id="384"/>
      <w:bookmarkEnd w:id="385"/>
      <w:bookmarkEnd w:id="386"/>
      <w:bookmarkEnd w:id="387"/>
      <w:bookmarkEnd w:id="388"/>
      <w:r w:rsidRPr="008E1AE3">
        <w:t xml:space="preserve">Figure </w:t>
      </w:r>
      <w:r w:rsidRPr="008E1AE3">
        <w:fldChar w:fldCharType="begin"/>
      </w:r>
      <w:r w:rsidRPr="008E1AE3">
        <w:instrText xml:space="preserve"> SEQ Figure \* ARABIC </w:instrText>
      </w:r>
      <w:r w:rsidRPr="008E1AE3">
        <w:fldChar w:fldCharType="separate"/>
      </w:r>
      <w:r w:rsidR="00363D25">
        <w:t>35</w:t>
      </w:r>
      <w:r w:rsidRPr="008E1AE3">
        <w:fldChar w:fldCharType="end"/>
      </w:r>
      <w:bookmarkEnd w:id="390"/>
      <w:r w:rsidRPr="008E1AE3">
        <w:t>: Number of runoff insurer notification</w:t>
      </w:r>
      <w:r w:rsidRPr="008E1AE3" w:rsidR="00AD7121">
        <w:t>s</w:t>
      </w:r>
      <w:r w:rsidRPr="008E1AE3">
        <w:t xml:space="preserve"> </w:t>
      </w:r>
      <w:r w:rsidR="00863260">
        <w:t xml:space="preserve">of loss </w:t>
      </w:r>
      <w:r w:rsidRPr="008E1AE3" w:rsidR="00AD7121">
        <w:t xml:space="preserve">reported </w:t>
      </w:r>
      <w:r w:rsidRPr="008E1AE3" w:rsidR="00C711D8">
        <w:t>by year</w:t>
      </w:r>
    </w:p>
    <w:p w:rsidR="00541261" w:rsidRPr="008E1AE3" w:rsidP="00A05464" w14:paraId="6C5E495C" w14:textId="52760C41">
      <w:pPr>
        <w:spacing w:before="0" w:after="480"/>
      </w:pPr>
      <w:r>
        <w:rPr>
          <w:noProof/>
        </w:rPr>
        <w:drawing>
          <wp:inline distT="0" distB="0" distL="0" distR="0">
            <wp:extent cx="6096635" cy="3578860"/>
            <wp:effectExtent l="0" t="0" r="0" b="2540"/>
            <wp:docPr id="452709545" name="Picture 452709545" descr="This chart displays the number of runoff insurer notifications reported by year as at Jun 2018.&#10;&#10;The number of runoff insurer notifications reported has dropped significantly from 1,272 in 2011/12, to 104 in 2016/2017, and 25 in 2017/18.&#10;" title="Number of runoff insurer notifications reported by year as at Ju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02656" name="Picture 13"/>
                    <pic:cNvPicPr>
                      <a:picLocks noChangeAspect="1" noChangeArrowheads="1"/>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tretch>
                      <a:fillRect/>
                    </a:stretch>
                  </pic:blipFill>
                  <pic:spPr bwMode="auto">
                    <a:xfrm>
                      <a:off x="0" y="0"/>
                      <a:ext cx="6096635" cy="3578860"/>
                    </a:xfrm>
                    <a:prstGeom prst="rect">
                      <a:avLst/>
                    </a:prstGeom>
                    <a:noFill/>
                  </pic:spPr>
                </pic:pic>
              </a:graphicData>
            </a:graphic>
          </wp:inline>
        </w:drawing>
      </w:r>
    </w:p>
    <w:p w:rsidR="003719DB" w:rsidRPr="008E1AE3" w:rsidP="00AB0583" w14:paraId="29CD7680" w14:textId="61C558CD">
      <w:pPr>
        <w:pStyle w:val="Figures"/>
      </w:pPr>
      <w:r w:rsidRPr="008E1AE3">
        <w:t xml:space="preserve">Figure </w:t>
      </w:r>
      <w:r w:rsidRPr="008E1AE3" w:rsidR="0028341A">
        <w:fldChar w:fldCharType="begin"/>
      </w:r>
      <w:r w:rsidRPr="008E1AE3" w:rsidR="0028341A">
        <w:instrText xml:space="preserve"> SEQ Figure \* ARABIC </w:instrText>
      </w:r>
      <w:r w:rsidRPr="008E1AE3" w:rsidR="0028341A">
        <w:fldChar w:fldCharType="separate"/>
      </w:r>
      <w:r w:rsidR="00363D25">
        <w:t>36</w:t>
      </w:r>
      <w:r w:rsidRPr="008E1AE3" w:rsidR="0028341A">
        <w:fldChar w:fldCharType="end"/>
      </w:r>
      <w:r w:rsidRPr="008E1AE3">
        <w:t xml:space="preserve">: </w:t>
      </w:r>
      <w:r w:rsidRPr="008E1AE3" w:rsidR="00696433">
        <w:t>N</w:t>
      </w:r>
      <w:r w:rsidRPr="008E1AE3">
        <w:t xml:space="preserve">umber of </w:t>
      </w:r>
      <w:r w:rsidRPr="008E1AE3" w:rsidR="00696433">
        <w:t xml:space="preserve">runoff insurer </w:t>
      </w:r>
      <w:r w:rsidRPr="008E1AE3" w:rsidR="7F62F5C9">
        <w:t xml:space="preserve">claims </w:t>
      </w:r>
      <w:r w:rsidRPr="003E0868" w:rsidR="003E0868">
        <w:t xml:space="preserve">lodged </w:t>
      </w:r>
      <w:r w:rsidRPr="008E1AE3" w:rsidR="00C6333E">
        <w:t xml:space="preserve">by year </w:t>
      </w:r>
      <w:r w:rsidRPr="008E1AE3" w:rsidR="00342466">
        <w:t xml:space="preserve">and </w:t>
      </w:r>
      <w:r w:rsidRPr="008E1AE3">
        <w:t>claim status</w:t>
      </w:r>
    </w:p>
    <w:p w:rsidR="502CAFEB" w:rsidRPr="008E1AE3" w:rsidP="00C558D3" w14:paraId="6021BAF9" w14:textId="512969AC">
      <w:pPr>
        <w:spacing w:before="0" w:after="360"/>
      </w:pPr>
      <w:bookmarkStart w:id="391" w:name="_Toc531180106"/>
      <w:bookmarkStart w:id="392" w:name="_Toc531181945"/>
      <w:bookmarkStart w:id="393" w:name="_Toc2073661"/>
      <w:bookmarkStart w:id="394" w:name="_Toc2083981"/>
      <w:bookmarkStart w:id="395" w:name="_Toc2085904"/>
      <w:r>
        <w:rPr>
          <w:noProof/>
        </w:rPr>
        <w:drawing>
          <wp:inline distT="0" distB="0" distL="0" distR="0">
            <wp:extent cx="6236970" cy="3724910"/>
            <wp:effectExtent l="0" t="0" r="0" b="8890"/>
            <wp:docPr id="452709546" name="Picture 452709546" descr="This chart displays the number of runoff insurer claims lodged by year and claim status as at Jun 2018.&#10;&#10;The number of runoff insurer claims (open or closed) has dropped significantly from 840 2011/12, to 72 in 2016/2017, and 18 in 2017/18.&#10;&#10;The number of runoff insurer claims (open) has dropped significantly from 41 in 2011/12, to 13 in 2016/2017, and 5 in 2017/18.&#10;&#10;The number of runoff insurer claims (closed) has dropped significantly from 799 in 2011/12, to 59 in 2016/2017, and 13 in 2017/18.&#10;&#10;" title="Number of runoff insurer claims lodged by year and claim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42953" name="Picture 14"/>
                    <pic:cNvPicPr>
                      <a:picLocks noChangeAspect="1" noChangeArrowheads="1"/>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tretch>
                      <a:fillRect/>
                    </a:stretch>
                  </pic:blipFill>
                  <pic:spPr bwMode="auto">
                    <a:xfrm>
                      <a:off x="0" y="0"/>
                      <a:ext cx="6236970" cy="3724910"/>
                    </a:xfrm>
                    <a:prstGeom prst="rect">
                      <a:avLst/>
                    </a:prstGeom>
                    <a:noFill/>
                  </pic:spPr>
                </pic:pic>
              </a:graphicData>
            </a:graphic>
          </wp:inline>
        </w:drawing>
      </w:r>
    </w:p>
    <w:p w:rsidR="004A6998" w:rsidRPr="008E1AE3" w:rsidP="00AB0583" w14:paraId="14D5EE33" w14:textId="05AAFE64">
      <w:pPr>
        <w:pStyle w:val="Figures"/>
      </w:pPr>
      <w:bookmarkEnd w:id="391"/>
      <w:bookmarkEnd w:id="392"/>
      <w:bookmarkEnd w:id="393"/>
      <w:bookmarkEnd w:id="394"/>
      <w:bookmarkEnd w:id="395"/>
      <w:r w:rsidRPr="008E1AE3">
        <w:t xml:space="preserve">Figure </w:t>
      </w:r>
      <w:r w:rsidRPr="008E1AE3" w:rsidR="0028341A">
        <w:fldChar w:fldCharType="begin"/>
      </w:r>
      <w:r w:rsidRPr="008E1AE3" w:rsidR="0028341A">
        <w:instrText xml:space="preserve"> SEQ Figure \* ARABIC </w:instrText>
      </w:r>
      <w:r w:rsidRPr="008E1AE3" w:rsidR="0028341A">
        <w:fldChar w:fldCharType="separate"/>
      </w:r>
      <w:r w:rsidR="00363D25">
        <w:t>37</w:t>
      </w:r>
      <w:r w:rsidRPr="008E1AE3" w:rsidR="0028341A">
        <w:fldChar w:fldCharType="end"/>
      </w:r>
      <w:r w:rsidRPr="008E1AE3" w:rsidR="00A7268F">
        <w:t xml:space="preserve">: </w:t>
      </w:r>
      <w:r w:rsidRPr="008E1AE3" w:rsidR="00696433">
        <w:t>N</w:t>
      </w:r>
      <w:r w:rsidRPr="008E1AE3">
        <w:t xml:space="preserve">umber of </w:t>
      </w:r>
      <w:r w:rsidRPr="008E1AE3" w:rsidR="00696433">
        <w:t xml:space="preserve">runoff </w:t>
      </w:r>
      <w:r w:rsidRPr="008E1AE3" w:rsidR="00202C09">
        <w:t xml:space="preserve">insurer </w:t>
      </w:r>
      <w:r w:rsidRPr="008E1AE3">
        <w:t xml:space="preserve">claims </w:t>
      </w:r>
      <w:r w:rsidRPr="003E0868" w:rsidR="003E0868">
        <w:t xml:space="preserve">lodged </w:t>
      </w:r>
      <w:r w:rsidRPr="008E1AE3">
        <w:t xml:space="preserve">by </w:t>
      </w:r>
      <w:r w:rsidRPr="008E1AE3" w:rsidR="00DA1333">
        <w:t xml:space="preserve">year and </w:t>
      </w:r>
      <w:r w:rsidRPr="008E1AE3">
        <w:t>liability status</w:t>
      </w:r>
    </w:p>
    <w:p w:rsidR="009C07A7" w:rsidRPr="008E1AE3" w:rsidP="00A05464" w14:paraId="31ECADF3" w14:textId="5CF7CB58">
      <w:pPr>
        <w:spacing w:before="0" w:after="480"/>
      </w:pPr>
      <w:r w:rsidRPr="008E1AE3">
        <w:t xml:space="preserve"> </w:t>
      </w:r>
      <w:r w:rsidR="00257A71">
        <w:rPr>
          <w:noProof/>
        </w:rPr>
        <w:drawing>
          <wp:inline distT="0" distB="0" distL="0" distR="0">
            <wp:extent cx="6249035" cy="3566160"/>
            <wp:effectExtent l="0" t="0" r="0" b="0"/>
            <wp:docPr id="452709560" name="Picture 452709560" descr="This chart displays as at June 2018 the number of runoff insurer claims lodged by year and liability status from 2011/12 to 2017/18.&#10;&#10;The number of runoff insurer claims with status ‘liability accepted’ has dropped significantly from 648 in 2011/12, to 33 in 2016/2017, and 1 in 2017/18.&#10;&#10;The number of runoff insurer claims with status ‘liability denied’ has dropped significantly from 191 in 2011/12, to 38 in 2016/2017, and 16 in 2017/18.&#10;&#10;The number of runoff insurer claims with status ‘assessment’ or ‘liability ion dispute’ is negligible in the past 7 years.&#10;" title="Number of runoff insurer claims lodged by year and liability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622740" name="Picture 17"/>
                    <pic:cNvPicPr>
                      <a:picLocks noChangeAspect="1" noChangeArrowheads="1"/>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bwMode="auto">
                    <a:xfrm>
                      <a:off x="0" y="0"/>
                      <a:ext cx="6249035" cy="3566160"/>
                    </a:xfrm>
                    <a:prstGeom prst="rect">
                      <a:avLst/>
                    </a:prstGeom>
                    <a:noFill/>
                  </pic:spPr>
                </pic:pic>
              </a:graphicData>
            </a:graphic>
          </wp:inline>
        </w:drawing>
      </w:r>
    </w:p>
    <w:p w:rsidR="00035E7E" w:rsidRPr="008E1AE3" w:rsidP="00035E7E" w14:paraId="40F60B0A" w14:textId="16D385A4">
      <w:pPr>
        <w:pStyle w:val="Figures"/>
      </w:pPr>
      <w:r w:rsidRPr="008E1AE3">
        <w:t xml:space="preserve">Figure </w:t>
      </w:r>
      <w:r w:rsidRPr="008E1AE3">
        <w:fldChar w:fldCharType="begin"/>
      </w:r>
      <w:r w:rsidRPr="008E1AE3">
        <w:instrText xml:space="preserve"> SEQ Figure \* ARABIC </w:instrText>
      </w:r>
      <w:r w:rsidRPr="008E1AE3">
        <w:fldChar w:fldCharType="separate"/>
      </w:r>
      <w:r w:rsidR="00363D25">
        <w:t>38</w:t>
      </w:r>
      <w:r w:rsidRPr="008E1AE3">
        <w:fldChar w:fldCharType="end"/>
      </w:r>
      <w:r w:rsidRPr="008E1AE3">
        <w:t xml:space="preserve">: Number of runoff insurer claims </w:t>
      </w:r>
      <w:r w:rsidRPr="003E0868" w:rsidR="003E0868">
        <w:t xml:space="preserve">lodged </w:t>
      </w:r>
      <w:r w:rsidRPr="008E1AE3" w:rsidR="002426AA">
        <w:t xml:space="preserve">where </w:t>
      </w:r>
      <w:r w:rsidRPr="008E1AE3">
        <w:t xml:space="preserve">liability </w:t>
      </w:r>
      <w:r w:rsidRPr="008E1AE3" w:rsidR="002426AA">
        <w:t xml:space="preserve">has been </w:t>
      </w:r>
      <w:r w:rsidRPr="008E1AE3">
        <w:t xml:space="preserve">denied by </w:t>
      </w:r>
      <w:r w:rsidRPr="008E1AE3" w:rsidR="00D20B76">
        <w:t xml:space="preserve">year and </w:t>
      </w:r>
      <w:r w:rsidRPr="008E1AE3">
        <w:t>reason declined</w:t>
      </w:r>
    </w:p>
    <w:p w:rsidR="0046783D" w:rsidRPr="008E1AE3" w:rsidP="00C558D3" w14:paraId="0DC72EEE" w14:textId="30F54BB0">
      <w:pPr>
        <w:spacing w:before="0" w:after="360"/>
      </w:pPr>
      <w:r>
        <w:rPr>
          <w:noProof/>
        </w:rPr>
        <w:drawing>
          <wp:inline distT="0" distB="0" distL="0" distR="0">
            <wp:extent cx="5846445" cy="3578860"/>
            <wp:effectExtent l="0" t="0" r="1905" b="2540"/>
            <wp:docPr id="452709561" name="Picture 452709561" descr="The main reasons liability has been denied for the claims are ‘Not deemed a defect’, ‘Out of time’ and ‘Builder not insolvent’, in that order: &#10;- ‘Not deemed a defect’ has dropped significantly from 94 in 2011/12, to 7 in 2016/2017, and 1 in 2017/18.&#10;- ‘Out of time has increased from 19 in 2011/12, to 27 in 2016/2017, but decreased to 13 in 2017/18.&#10;- ‘Builder not insolvent’ has dropped significantly from 64 in 2011/12, to 1 and 2 respectively in 2016/2017 and 2017/18.&#10;" title="Number of runoff insurer claims lodged where liability has been denied by year and reason decl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430326" name="Picture 18"/>
                    <pic:cNvPicPr>
                      <a:picLocks noChangeAspect="1" noChangeArrowheads="1"/>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bwMode="auto">
                    <a:xfrm>
                      <a:off x="0" y="0"/>
                      <a:ext cx="5846445" cy="3578860"/>
                    </a:xfrm>
                    <a:prstGeom prst="rect">
                      <a:avLst/>
                    </a:prstGeom>
                    <a:noFill/>
                  </pic:spPr>
                </pic:pic>
              </a:graphicData>
            </a:graphic>
          </wp:inline>
        </w:drawing>
      </w:r>
    </w:p>
    <w:p w:rsidR="00643304" w:rsidRPr="008E1AE3" w:rsidP="00643304" w14:paraId="3CF34C8E" w14:textId="46807EA3">
      <w:pPr>
        <w:pStyle w:val="Figures"/>
      </w:pPr>
      <w:r w:rsidRPr="008E1AE3">
        <w:t xml:space="preserve">Figure </w:t>
      </w:r>
      <w:r w:rsidRPr="008E1AE3">
        <w:fldChar w:fldCharType="begin"/>
      </w:r>
      <w:r w:rsidRPr="008E1AE3">
        <w:instrText xml:space="preserve"> SEQ Figure \* ARABIC </w:instrText>
      </w:r>
      <w:r w:rsidRPr="008E1AE3">
        <w:fldChar w:fldCharType="separate"/>
      </w:r>
      <w:r w:rsidR="00363D25">
        <w:t>39</w:t>
      </w:r>
      <w:r w:rsidRPr="008E1AE3">
        <w:fldChar w:fldCharType="end"/>
      </w:r>
      <w:r w:rsidRPr="008E1AE3">
        <w:t xml:space="preserve">: Number of runoff insurer claims </w:t>
      </w:r>
      <w:r w:rsidRPr="003E0868" w:rsidR="003E0868">
        <w:t xml:space="preserve">lodged </w:t>
      </w:r>
      <w:r w:rsidRPr="008E1AE3">
        <w:t>by year and principal cause</w:t>
      </w:r>
    </w:p>
    <w:p w:rsidR="00643304" w:rsidRPr="008E1AE3" w:rsidP="00A05464" w14:paraId="5CCCB28F" w14:textId="7D6D7204">
      <w:pPr>
        <w:spacing w:after="480"/>
      </w:pPr>
      <w:r>
        <w:rPr>
          <w:noProof/>
        </w:rPr>
        <w:drawing>
          <wp:inline distT="0" distB="0" distL="0" distR="0">
            <wp:extent cx="6334125" cy="3816350"/>
            <wp:effectExtent l="0" t="0" r="9525" b="0"/>
            <wp:docPr id="452709563" name="Picture 452709563" descr="This chart displays as at Jun 2018 the number of runoff insurer claims lodged by year and principal cause.&#10;&#10;The main principal cause for the claims are ‘Insolvency’ and ‘Disappearance’, in that order: &#10;- ‘Insolvency’ has dropped significantly from 777 in 2011/12, to 64 in 2016/2017, and 17 in 2017/18.&#10;- ‘Disappearance’ has dropped from 49 in 2011/12, to 8 in 2016/2017, and 1 in 2017/18.&#10;" title="Number of runoff insurer claims lodged by year and principal c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736075" name="Picture 20"/>
                    <pic:cNvPicPr>
                      <a:picLocks noChangeAspect="1" noChangeArrowheads="1"/>
                    </pic:cNvPicPr>
                  </pic:nvPicPr>
                  <pic:blipFill>
                    <a:blip xmlns:r="http://schemas.openxmlformats.org/officeDocument/2006/relationships" r:embed="rId57">
                      <a:extLst>
                        <a:ext xmlns:a="http://schemas.openxmlformats.org/drawingml/2006/main" uri="{28A0092B-C50C-407E-A947-70E740481C1C}">
                          <a14:useLocalDpi xmlns:a14="http://schemas.microsoft.com/office/drawing/2010/main" val="0"/>
                        </a:ext>
                      </a:extLst>
                    </a:blip>
                    <a:stretch>
                      <a:fillRect/>
                    </a:stretch>
                  </pic:blipFill>
                  <pic:spPr bwMode="auto">
                    <a:xfrm>
                      <a:off x="0" y="0"/>
                      <a:ext cx="6334125" cy="3816350"/>
                    </a:xfrm>
                    <a:prstGeom prst="rect">
                      <a:avLst/>
                    </a:prstGeom>
                    <a:noFill/>
                  </pic:spPr>
                </pic:pic>
              </a:graphicData>
            </a:graphic>
          </wp:inline>
        </w:drawing>
      </w:r>
    </w:p>
    <w:p w:rsidR="00B7476D" w:rsidRPr="008E1AE3" w:rsidP="00B7476D" w14:paraId="1BBCB324" w14:textId="1E402268">
      <w:pPr>
        <w:pStyle w:val="Figures"/>
      </w:pPr>
      <w:r w:rsidRPr="008E1AE3">
        <w:t xml:space="preserve">Figure </w:t>
      </w:r>
      <w:r w:rsidRPr="008E1AE3">
        <w:fldChar w:fldCharType="begin"/>
      </w:r>
      <w:r w:rsidRPr="008E1AE3">
        <w:instrText xml:space="preserve"> SEQ Figure \* ARABIC </w:instrText>
      </w:r>
      <w:r w:rsidRPr="008E1AE3">
        <w:fldChar w:fldCharType="separate"/>
      </w:r>
      <w:r w:rsidR="00363D25">
        <w:t>40</w:t>
      </w:r>
      <w:r w:rsidRPr="008E1AE3">
        <w:fldChar w:fldCharType="end"/>
      </w:r>
      <w:r w:rsidRPr="008E1AE3">
        <w:t xml:space="preserve">: Number of runoff insurer claims </w:t>
      </w:r>
      <w:r w:rsidRPr="00612017" w:rsidR="00612017">
        <w:t xml:space="preserve">lodged </w:t>
      </w:r>
      <w:r w:rsidRPr="008E1AE3">
        <w:t xml:space="preserve">by year and </w:t>
      </w:r>
      <w:r w:rsidRPr="008E1AE3" w:rsidR="00832D20">
        <w:t xml:space="preserve">type of claim </w:t>
      </w:r>
    </w:p>
    <w:p w:rsidR="00931431" w:rsidRPr="008E1AE3" w:rsidP="00C558D3" w14:paraId="7FA00DA7" w14:textId="0E654C44">
      <w:pPr>
        <w:spacing w:after="360"/>
      </w:pPr>
      <w:r>
        <w:rPr>
          <w:noProof/>
        </w:rPr>
        <w:drawing>
          <wp:inline distT="0" distB="0" distL="0" distR="0">
            <wp:extent cx="6242050" cy="3322320"/>
            <wp:effectExtent l="0" t="0" r="6350" b="0"/>
            <wp:docPr id="452709564" name="Picture 452709564" descr="This chart displays the number of runoff insurer claims lodged by year and type of claim&#10;&#10;The main claim types, in that order, are: &#10;- ‘Major defect’ has dropped significantly from 687 in 2011/12, to 68 in 2016/2017, and 15 in 2017/18.&#10;- ‘Failure to complete’ has increased from 107 in 2011/12, to nil since 2016/2017&#10;- ‘Other loss’ has dropped from 45 in 2011/12, to 4 and 3 respectively in 2016/2017 and 2017/18.&#10;" title="Number of runoff insurer claims lodged by year and type of 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986316" name="Picture 21"/>
                    <pic:cNvPicPr>
                      <a:picLocks noChangeAspect="1" noChangeArrowheads="1"/>
                    </pic:cNvPicPr>
                  </pic:nvPicPr>
                  <pic:blipFill>
                    <a:blip xmlns:r="http://schemas.openxmlformats.org/officeDocument/2006/relationships" r:embed="rId58">
                      <a:extLst>
                        <a:ext xmlns:a="http://schemas.openxmlformats.org/drawingml/2006/main" uri="{28A0092B-C50C-407E-A947-70E740481C1C}">
                          <a14:useLocalDpi xmlns:a14="http://schemas.microsoft.com/office/drawing/2010/main" val="0"/>
                        </a:ext>
                      </a:extLst>
                    </a:blip>
                    <a:stretch>
                      <a:fillRect/>
                    </a:stretch>
                  </pic:blipFill>
                  <pic:spPr bwMode="auto">
                    <a:xfrm>
                      <a:off x="0" y="0"/>
                      <a:ext cx="6242050" cy="3322320"/>
                    </a:xfrm>
                    <a:prstGeom prst="rect">
                      <a:avLst/>
                    </a:prstGeom>
                    <a:noFill/>
                  </pic:spPr>
                </pic:pic>
              </a:graphicData>
            </a:graphic>
          </wp:inline>
        </w:drawing>
      </w:r>
    </w:p>
    <w:p w:rsidR="005E5FC2" w:rsidRPr="008E1AE3" w:rsidP="00AB0583" w14:paraId="4748B274" w14:textId="5135E541">
      <w:pPr>
        <w:pStyle w:val="Figures"/>
      </w:pPr>
      <w:r w:rsidRPr="008E1AE3">
        <w:t xml:space="preserve">Figure </w:t>
      </w:r>
      <w:r w:rsidRPr="008E1AE3" w:rsidR="0028341A">
        <w:fldChar w:fldCharType="begin"/>
      </w:r>
      <w:r w:rsidRPr="008E1AE3" w:rsidR="0028341A">
        <w:instrText xml:space="preserve"> SEQ Figure \* ARABIC </w:instrText>
      </w:r>
      <w:r w:rsidRPr="008E1AE3" w:rsidR="0028341A">
        <w:fldChar w:fldCharType="separate"/>
      </w:r>
      <w:r w:rsidR="00363D25">
        <w:t>41</w:t>
      </w:r>
      <w:r w:rsidRPr="008E1AE3" w:rsidR="0028341A">
        <w:fldChar w:fldCharType="end"/>
      </w:r>
      <w:r w:rsidRPr="008E1AE3">
        <w:t xml:space="preserve">: </w:t>
      </w:r>
      <w:r w:rsidRPr="008E1AE3" w:rsidR="002B4A5C">
        <w:t>N</w:t>
      </w:r>
      <w:r w:rsidRPr="008E1AE3">
        <w:t xml:space="preserve">umber of </w:t>
      </w:r>
      <w:r w:rsidRPr="008E1AE3" w:rsidR="002B4A5C">
        <w:t xml:space="preserve">runoff insurer </w:t>
      </w:r>
      <w:r w:rsidRPr="008E1AE3">
        <w:t xml:space="preserve">claims </w:t>
      </w:r>
      <w:bookmarkStart w:id="396" w:name="_Hlk7178932"/>
      <w:r w:rsidRPr="00A20F02" w:rsidR="00612017">
        <w:rPr>
          <w:lang w:val="en-US"/>
        </w:rPr>
        <w:t>lodged</w:t>
      </w:r>
      <w:bookmarkEnd w:id="396"/>
      <w:r w:rsidRPr="008D763D" w:rsidR="00612017">
        <w:rPr>
          <w:b w:val="0"/>
          <w:lang w:val="en-US"/>
        </w:rPr>
        <w:t xml:space="preserve"> </w:t>
      </w:r>
      <w:r w:rsidRPr="008E1AE3">
        <w:t xml:space="preserve">by </w:t>
      </w:r>
      <w:r w:rsidRPr="008E1AE3" w:rsidR="0028274F">
        <w:t xml:space="preserve">year and construction </w:t>
      </w:r>
      <w:r w:rsidRPr="008E1AE3">
        <w:t>type</w:t>
      </w:r>
    </w:p>
    <w:p w:rsidR="006A2B69" w:rsidP="00EA2B87" w14:paraId="6E81A644" w14:textId="2176C40E">
      <w:pPr>
        <w:spacing w:after="360"/>
        <w:rPr>
          <w:sz w:val="20"/>
          <w:szCs w:val="20"/>
        </w:rPr>
      </w:pPr>
      <w:bookmarkStart w:id="397" w:name="_Hlk4414993"/>
      <w:bookmarkStart w:id="398" w:name="_Toc2073664"/>
      <w:bookmarkStart w:id="399" w:name="_Toc2083984"/>
      <w:bookmarkStart w:id="400" w:name="_Toc2085907"/>
      <w:bookmarkStart w:id="401" w:name="_Toc4144949"/>
      <w:bookmarkStart w:id="402" w:name="_Toc4483538"/>
      <w:bookmarkStart w:id="403" w:name="_Toc531180109"/>
      <w:bookmarkStart w:id="404" w:name="_Toc531181948"/>
      <w:r>
        <w:rPr>
          <w:noProof/>
          <w:sz w:val="20"/>
          <w:szCs w:val="20"/>
        </w:rPr>
        <w:drawing>
          <wp:inline distT="0" distB="0" distL="0" distR="0">
            <wp:extent cx="6309995" cy="3980815"/>
            <wp:effectExtent l="0" t="0" r="0" b="635"/>
            <wp:docPr id="452709565" name="Picture 452709565" descr="This chart displays number of runoff insurer claims lodged by year and construction type.&#10;&#10;New single dwellings and new multiple dwellings accounted for 60% and 20% respectively of all claims lodged since 2011/12. &#10;&#10;In 2017/18, 14 (78%) of the claims lodged related to new single dwellings.&#10;" title="Number of runoff insurer claims lodged by year and construction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949963" name="Picture 22"/>
                    <pic:cNvPicPr>
                      <a:picLocks noChangeAspect="1" noChangeArrowheads="1"/>
                    </pic:cNvPicPr>
                  </pic:nvPicPr>
                  <pic:blipFill>
                    <a:blip xmlns:r="http://schemas.openxmlformats.org/officeDocument/2006/relationships" r:embed="rId59">
                      <a:extLst>
                        <a:ext xmlns:a="http://schemas.openxmlformats.org/drawingml/2006/main" uri="{28A0092B-C50C-407E-A947-70E740481C1C}">
                          <a14:useLocalDpi xmlns:a14="http://schemas.microsoft.com/office/drawing/2010/main" val="0"/>
                        </a:ext>
                      </a:extLst>
                    </a:blip>
                    <a:stretch>
                      <a:fillRect/>
                    </a:stretch>
                  </pic:blipFill>
                  <pic:spPr bwMode="auto">
                    <a:xfrm>
                      <a:off x="0" y="0"/>
                      <a:ext cx="6309995" cy="3980815"/>
                    </a:xfrm>
                    <a:prstGeom prst="rect">
                      <a:avLst/>
                    </a:prstGeom>
                    <a:noFill/>
                  </pic:spPr>
                </pic:pic>
              </a:graphicData>
            </a:graphic>
          </wp:inline>
        </w:drawing>
      </w:r>
    </w:p>
    <w:p w:rsidR="003E7EEA" w:rsidRPr="008E1AE3" w:rsidP="003E7EEA" w14:paraId="4C672AC9" w14:textId="0EAE88C2">
      <w:pPr>
        <w:rPr>
          <w:sz w:val="20"/>
          <w:szCs w:val="20"/>
        </w:rPr>
      </w:pPr>
      <w:r w:rsidRPr="008E1AE3">
        <w:rPr>
          <w:sz w:val="20"/>
          <w:szCs w:val="20"/>
        </w:rPr>
        <w:t>Note:</w:t>
      </w:r>
      <w:r w:rsidRPr="00B11D1D" w:rsidR="00B11D1D">
        <w:rPr>
          <w:noProof/>
          <w:sz w:val="20"/>
          <w:szCs w:val="20"/>
        </w:rPr>
        <w:t xml:space="preserve"> </w:t>
      </w:r>
      <w:r w:rsidR="005B035E">
        <w:rPr>
          <w:noProof/>
          <w:sz w:val="20"/>
          <w:szCs w:val="20"/>
        </w:rPr>
        <w:t xml:space="preserve">HBC contracts of insurance </w:t>
      </w:r>
      <w:r w:rsidRPr="008E1AE3">
        <w:rPr>
          <w:sz w:val="20"/>
          <w:szCs w:val="20"/>
        </w:rPr>
        <w:t>for ‘</w:t>
      </w:r>
      <w:r w:rsidR="005B035E">
        <w:rPr>
          <w:sz w:val="20"/>
          <w:szCs w:val="20"/>
        </w:rPr>
        <w:t>n</w:t>
      </w:r>
      <w:r w:rsidRPr="008E1AE3">
        <w:rPr>
          <w:sz w:val="20"/>
          <w:szCs w:val="20"/>
        </w:rPr>
        <w:t>ew multi</w:t>
      </w:r>
      <w:r w:rsidR="006A2B69">
        <w:rPr>
          <w:sz w:val="20"/>
          <w:szCs w:val="20"/>
        </w:rPr>
        <w:t xml:space="preserve">ple </w:t>
      </w:r>
      <w:r w:rsidRPr="008E1AE3">
        <w:rPr>
          <w:sz w:val="20"/>
          <w:szCs w:val="20"/>
        </w:rPr>
        <w:t>dwelling</w:t>
      </w:r>
      <w:r w:rsidR="006A2B69">
        <w:rPr>
          <w:sz w:val="20"/>
          <w:szCs w:val="20"/>
        </w:rPr>
        <w:t>s</w:t>
      </w:r>
      <w:r w:rsidRPr="008E1AE3">
        <w:rPr>
          <w:sz w:val="20"/>
          <w:szCs w:val="20"/>
        </w:rPr>
        <w:t xml:space="preserve"> (greater than three storeys)’ </w:t>
      </w:r>
      <w:r w:rsidR="00047AAC">
        <w:rPr>
          <w:sz w:val="20"/>
          <w:szCs w:val="20"/>
        </w:rPr>
        <w:t>ceased to be</w:t>
      </w:r>
      <w:r w:rsidRPr="008E1AE3">
        <w:rPr>
          <w:sz w:val="20"/>
          <w:szCs w:val="20"/>
        </w:rPr>
        <w:t xml:space="preserve"> issued after December 2003.</w:t>
      </w:r>
    </w:p>
    <w:p w:rsidR="00D925A7" w14:paraId="3F9E9FB5" w14:textId="24673EC4">
      <w:pPr>
        <w:spacing w:before="0" w:after="200"/>
        <w:rPr>
          <w:rFonts w:ascii="Clarendon Lt BT" w:hAnsi="Clarendon Lt BT" w:eastAsiaTheme="majorEastAsia" w:cstheme="majorBidi"/>
          <w:bCs/>
          <w:color w:val="000000" w:themeColor="text1"/>
          <w:sz w:val="32"/>
          <w:szCs w:val="26"/>
        </w:rPr>
      </w:pPr>
      <w:bookmarkEnd w:id="397"/>
      <w:r>
        <w:br w:type="page"/>
      </w:r>
    </w:p>
    <w:p w:rsidR="00096F36" w:rsidRPr="008E1AE3" w:rsidP="003E7EEA" w14:paraId="35EC427F" w14:textId="0B290482">
      <w:pPr>
        <w:pStyle w:val="Heading2"/>
      </w:pPr>
      <w:bookmarkStart w:id="405" w:name="_Toc4485224"/>
      <w:bookmarkStart w:id="406" w:name="_Toc15488363"/>
      <w:r w:rsidRPr="008E1AE3">
        <w:t>Runoff insurer claim payments</w:t>
      </w:r>
      <w:bookmarkEnd w:id="398"/>
      <w:bookmarkEnd w:id="399"/>
      <w:bookmarkEnd w:id="400"/>
      <w:bookmarkEnd w:id="401"/>
      <w:bookmarkEnd w:id="402"/>
      <w:bookmarkEnd w:id="405"/>
      <w:bookmarkEnd w:id="406"/>
    </w:p>
    <w:p w:rsidR="009F01FA" w:rsidRPr="008E1AE3" w:rsidP="2CBEE8A8" w14:paraId="3B4A7D8E" w14:textId="77777777">
      <w:pPr>
        <w:shd w:val="clear" w:color="auto" w:fill="DAEEF3" w:themeFill="accent5" w:themeFillTint="33"/>
        <w:rPr>
          <w:b/>
          <w:bCs/>
        </w:rPr>
      </w:pPr>
      <w:bookmarkStart w:id="407" w:name="_Toc2073665"/>
      <w:bookmarkStart w:id="408" w:name="_Toc2083985"/>
      <w:bookmarkStart w:id="409" w:name="_Toc2085908"/>
      <w:r w:rsidRPr="008E1AE3">
        <w:rPr>
          <w:b/>
          <w:bCs/>
        </w:rPr>
        <w:t>Key comments:</w:t>
      </w:r>
    </w:p>
    <w:p w:rsidR="00F24C65" w:rsidRPr="008E1AE3" w:rsidP="00C53DBD" w14:paraId="6324FC38" w14:textId="5BB0428B">
      <w:pPr>
        <w:pStyle w:val="ListParagraph"/>
        <w:numPr>
          <w:ilvl w:val="0"/>
          <w:numId w:val="17"/>
        </w:numPr>
        <w:shd w:val="clear" w:color="auto" w:fill="DAEEF3" w:themeFill="accent5" w:themeFillTint="33"/>
      </w:pPr>
      <w:r w:rsidRPr="008E1AE3">
        <w:t>In 2017/18 a total of $3</w:t>
      </w:r>
      <w:r w:rsidRPr="008E1AE3" w:rsidR="001A7E09">
        <w:t>5.7</w:t>
      </w:r>
      <w:r w:rsidRPr="008E1AE3" w:rsidR="00FB7C70">
        <w:t xml:space="preserve"> million </w:t>
      </w:r>
      <w:r w:rsidRPr="008E1AE3" w:rsidR="0028274F">
        <w:t xml:space="preserve">was </w:t>
      </w:r>
      <w:r w:rsidRPr="008E1AE3" w:rsidR="00FB7C70">
        <w:t xml:space="preserve">paid </w:t>
      </w:r>
      <w:r w:rsidRPr="008E1AE3" w:rsidR="0028274F">
        <w:t xml:space="preserve">for runoff insurer claims </w:t>
      </w:r>
      <w:r w:rsidRPr="008E1AE3" w:rsidR="00585D98">
        <w:t>compared with $</w:t>
      </w:r>
      <w:r w:rsidRPr="008E1AE3" w:rsidR="00254C9C">
        <w:t>46.</w:t>
      </w:r>
      <w:r w:rsidRPr="008E1AE3" w:rsidR="0028274F">
        <w:t>8</w:t>
      </w:r>
      <w:r w:rsidRPr="008E1AE3" w:rsidR="00254C9C">
        <w:t xml:space="preserve"> million in the previous year</w:t>
      </w:r>
      <w:r w:rsidRPr="008E1AE3" w:rsidR="002328C3">
        <w:t>.</w:t>
      </w:r>
    </w:p>
    <w:p w:rsidR="004B224E" w:rsidRPr="008E1AE3" w:rsidP="00C53DBD" w14:paraId="473ADDE3" w14:textId="27709AD7">
      <w:pPr>
        <w:pStyle w:val="ListParagraph"/>
        <w:numPr>
          <w:ilvl w:val="0"/>
          <w:numId w:val="17"/>
        </w:numPr>
        <w:shd w:val="clear" w:color="auto" w:fill="DAEEF3" w:themeFill="accent5" w:themeFillTint="33"/>
      </w:pPr>
      <w:r w:rsidRPr="008E1AE3">
        <w:t>In the June 2018 quarter</w:t>
      </w:r>
      <w:r w:rsidRPr="008E1AE3" w:rsidR="00811970">
        <w:t>,</w:t>
      </w:r>
      <w:r w:rsidRPr="008E1AE3">
        <w:t xml:space="preserve"> a total of $10.3 million was paid compared with $12.5 million in the same quarter last year.</w:t>
      </w:r>
    </w:p>
    <w:p w:rsidR="005444E4" w:rsidRPr="008E1AE3" w:rsidP="00C53DBD" w14:paraId="2070D82A" w14:textId="11EBDDD5">
      <w:pPr>
        <w:pStyle w:val="ListParagraph"/>
        <w:numPr>
          <w:ilvl w:val="0"/>
          <w:numId w:val="17"/>
        </w:numPr>
        <w:shd w:val="clear" w:color="auto" w:fill="DAEEF3" w:themeFill="accent5" w:themeFillTint="33"/>
      </w:pPr>
      <w:r w:rsidRPr="008E1AE3">
        <w:t xml:space="preserve">In the last three years, </w:t>
      </w:r>
      <w:r w:rsidRPr="008E1AE3" w:rsidR="009F01FA">
        <w:t xml:space="preserve">claim payments due </w:t>
      </w:r>
      <w:r w:rsidRPr="008E1AE3" w:rsidR="004B224E">
        <w:t xml:space="preserve">to </w:t>
      </w:r>
      <w:r w:rsidRPr="008E1AE3" w:rsidR="009F01FA">
        <w:t xml:space="preserve">major defects accounted for </w:t>
      </w:r>
      <w:r w:rsidRPr="008E1AE3">
        <w:t>over 90</w:t>
      </w:r>
      <w:r w:rsidRPr="008E1AE3" w:rsidR="003F6A5F">
        <w:t>%</w:t>
      </w:r>
      <w:r w:rsidRPr="008E1AE3" w:rsidR="009F01FA">
        <w:t xml:space="preserve"> of the </w:t>
      </w:r>
      <w:r w:rsidRPr="008E1AE3">
        <w:t xml:space="preserve">total runoff </w:t>
      </w:r>
      <w:r w:rsidRPr="008E1AE3" w:rsidR="009F01FA">
        <w:t xml:space="preserve">claim </w:t>
      </w:r>
      <w:r w:rsidRPr="008E1AE3">
        <w:t>payment amounts each year</w:t>
      </w:r>
      <w:r w:rsidRPr="008E1AE3" w:rsidR="009F01FA">
        <w:t xml:space="preserve">. </w:t>
      </w:r>
    </w:p>
    <w:p w:rsidR="00022C02" w:rsidRPr="008E1AE3" w:rsidP="00910D52" w14:paraId="29D085AF" w14:textId="22C86F64">
      <w:pPr>
        <w:pStyle w:val="ListParagraph"/>
        <w:numPr>
          <w:ilvl w:val="0"/>
          <w:numId w:val="17"/>
        </w:numPr>
        <w:shd w:val="clear" w:color="auto" w:fill="DAEEF3" w:themeFill="accent5" w:themeFillTint="33"/>
        <w:spacing w:after="480"/>
        <w:ind w:left="357" w:hanging="357"/>
      </w:pPr>
      <w:r w:rsidRPr="008E1AE3">
        <w:t>Claim p</w:t>
      </w:r>
      <w:r w:rsidRPr="008E1AE3" w:rsidR="00256817">
        <w:t>ayments f</w:t>
      </w:r>
      <w:r w:rsidRPr="008E1AE3" w:rsidR="00305492">
        <w:t xml:space="preserve">or </w:t>
      </w:r>
      <w:r w:rsidRPr="008E1AE3">
        <w:t>new multi-dwellings (three storeys or less), new single dwelling and alterations accounted for 58%, 16% and 15% respectively of the payments made in 2017/18</w:t>
      </w:r>
      <w:r w:rsidRPr="008E1AE3" w:rsidR="009F01FA">
        <w:t>.</w:t>
      </w:r>
    </w:p>
    <w:p w:rsidR="00906C64" w:rsidRPr="008E1AE3" w:rsidP="00AB0583" w14:paraId="7A235FCE" w14:textId="4660BC22">
      <w:pPr>
        <w:pStyle w:val="Figures"/>
        <w:rPr>
          <w:color w:val="FF0000"/>
        </w:rPr>
      </w:pPr>
      <w:bookmarkEnd w:id="407"/>
      <w:bookmarkEnd w:id="408"/>
      <w:bookmarkEnd w:id="409"/>
      <w:r w:rsidRPr="008E1AE3">
        <w:t xml:space="preserve">Figure </w:t>
      </w:r>
      <w:r w:rsidRPr="008E1AE3" w:rsidR="0028341A">
        <w:fldChar w:fldCharType="begin"/>
      </w:r>
      <w:r w:rsidRPr="008E1AE3" w:rsidR="0028341A">
        <w:instrText xml:space="preserve"> SEQ Figure \* ARABIC </w:instrText>
      </w:r>
      <w:r w:rsidRPr="008E1AE3" w:rsidR="0028341A">
        <w:fldChar w:fldCharType="separate"/>
      </w:r>
      <w:r w:rsidR="00363D25">
        <w:t>42</w:t>
      </w:r>
      <w:r w:rsidRPr="008E1AE3" w:rsidR="0028341A">
        <w:fldChar w:fldCharType="end"/>
      </w:r>
      <w:r w:rsidRPr="008E1AE3">
        <w:t xml:space="preserve">: Runoff insurer claim </w:t>
      </w:r>
      <w:r w:rsidRPr="008E1AE3" w:rsidR="00D33986">
        <w:t>payments</w:t>
      </w:r>
      <w:r w:rsidRPr="008E1AE3">
        <w:t xml:space="preserve"> ($ millions) </w:t>
      </w:r>
      <w:r w:rsidR="00EA58DC">
        <w:t>by year</w:t>
      </w:r>
      <w:r w:rsidRPr="008E1AE3" w:rsidR="00D33986">
        <w:t xml:space="preserve"> </w:t>
      </w:r>
      <w:r w:rsidR="00EA58DC">
        <w:t xml:space="preserve">and </w:t>
      </w:r>
      <w:r w:rsidRPr="008E1AE3">
        <w:t>type of claim</w:t>
      </w:r>
      <w:r w:rsidRPr="008E1AE3" w:rsidR="00D33986">
        <w:t xml:space="preserve"> </w:t>
      </w:r>
    </w:p>
    <w:p w:rsidR="00566085" w:rsidRPr="008E1AE3" w:rsidP="009243EF" w14:paraId="5E00299E" w14:textId="48F204FB">
      <w:r>
        <w:rPr>
          <w:noProof/>
        </w:rPr>
        <w:drawing>
          <wp:inline distT="0" distB="0" distL="0" distR="0">
            <wp:extent cx="6120765" cy="3919855"/>
            <wp:effectExtent l="0" t="0" r="0" b="4445"/>
            <wp:docPr id="452709556" name="Picture 452709556" descr="This chart displays runoff insurer claim payments ($ millions) over time by cover type&#10;&#10;In 2017/18 a total of $35.7 million was paid for runoff insurer claims compared with $46.8 million in the previous year.&#10;&#10;In the June 2018 quarter, a total of $10.3 million was paid compared with $12.5 million in the same quarter last year.&#10;&#10;In the last three years, claim payments due to major defects accounted for over 90% of the total runoff claim payment amounts each year. &#10;" title="Runoff insurer claim payments ($ millions) by year and type of cla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779476" name="Picture 21"/>
                    <pic:cNvPicPr>
                      <a:picLocks noChangeAspect="1" noChangeArrowheads="1"/>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bwMode="auto">
                    <a:xfrm>
                      <a:off x="0" y="0"/>
                      <a:ext cx="6120765" cy="3919855"/>
                    </a:xfrm>
                    <a:prstGeom prst="rect">
                      <a:avLst/>
                    </a:prstGeom>
                    <a:noFill/>
                  </pic:spPr>
                </pic:pic>
              </a:graphicData>
            </a:graphic>
          </wp:inline>
        </w:drawing>
      </w:r>
    </w:p>
    <w:p w:rsidR="00906C64" w:rsidRPr="008E1AE3" w:rsidP="00AB0583" w14:paraId="75EC2AA7" w14:textId="6FB3FE9C">
      <w:pPr>
        <w:pStyle w:val="Figures"/>
      </w:pPr>
      <w:r w:rsidRPr="008E1AE3">
        <w:t>F</w:t>
      </w:r>
      <w:r w:rsidRPr="008E1AE3" w:rsidR="00BB2898">
        <w:t xml:space="preserve">igure </w:t>
      </w:r>
      <w:r w:rsidRPr="008E1AE3" w:rsidR="0028341A">
        <w:fldChar w:fldCharType="begin"/>
      </w:r>
      <w:r w:rsidRPr="008E1AE3" w:rsidR="0028341A">
        <w:instrText xml:space="preserve"> SEQ Figure \* ARABIC </w:instrText>
      </w:r>
      <w:r w:rsidRPr="008E1AE3" w:rsidR="0028341A">
        <w:fldChar w:fldCharType="separate"/>
      </w:r>
      <w:r w:rsidR="00363D25">
        <w:t>43</w:t>
      </w:r>
      <w:r w:rsidRPr="008E1AE3" w:rsidR="0028341A">
        <w:fldChar w:fldCharType="end"/>
      </w:r>
      <w:r w:rsidRPr="008E1AE3">
        <w:t xml:space="preserve">: Runoff insurer claim </w:t>
      </w:r>
      <w:r w:rsidRPr="008E1AE3" w:rsidR="00D33986">
        <w:t>payments</w:t>
      </w:r>
      <w:r w:rsidRPr="008E1AE3">
        <w:t xml:space="preserve"> ($ millions) </w:t>
      </w:r>
      <w:r w:rsidR="00EA58DC">
        <w:t>by year</w:t>
      </w:r>
      <w:r w:rsidRPr="008E1AE3" w:rsidR="00EA58DC">
        <w:t xml:space="preserve"> </w:t>
      </w:r>
      <w:r w:rsidR="00EA58DC">
        <w:t xml:space="preserve">and </w:t>
      </w:r>
      <w:r w:rsidR="00A63FD0">
        <w:t>construction</w:t>
      </w:r>
      <w:r w:rsidRPr="008E1AE3">
        <w:t xml:space="preserve"> type</w:t>
      </w:r>
    </w:p>
    <w:p w:rsidR="00D33986" w:rsidRPr="008E1AE3" w:rsidP="00D33986" w14:paraId="0E2BC9C6" w14:textId="18EFC6D8">
      <w:r>
        <w:rPr>
          <w:noProof/>
        </w:rPr>
        <w:drawing>
          <wp:inline distT="0" distB="0" distL="0" distR="0">
            <wp:extent cx="5837556" cy="3778250"/>
            <wp:effectExtent l="0" t="0" r="0" b="0"/>
            <wp:docPr id="452709558" name="Picture 452709558" descr="This chart displays runoff insurer claim payments ($ millions) by year and construction type.&#10;&#10;Claim payments for new multi-dwellings (three storeys or less), new single dwelling and alterations accounted for 58%, 16% and 15% respectively of the payments made in 2017/18.&#10;" title="Runoff insurer claim payments ($ millions) by year and construction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601398" name="Picture 23"/>
                    <pic:cNvPicPr>
                      <a:picLocks noChangeAspect="1" noChangeArrowheads="1"/>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tretch>
                      <a:fillRect/>
                    </a:stretch>
                  </pic:blipFill>
                  <pic:spPr bwMode="auto">
                    <a:xfrm>
                      <a:off x="0" y="0"/>
                      <a:ext cx="5842273" cy="3781303"/>
                    </a:xfrm>
                    <a:prstGeom prst="rect">
                      <a:avLst/>
                    </a:prstGeom>
                    <a:noFill/>
                  </pic:spPr>
                </pic:pic>
              </a:graphicData>
            </a:graphic>
          </wp:inline>
        </w:drawing>
      </w:r>
    </w:p>
    <w:p w:rsidR="00727B3F" w:rsidRPr="008E1AE3" w:rsidP="00727B3F" w14:paraId="1F58CDD0" w14:textId="34D11FB5">
      <w:pPr>
        <w:rPr>
          <w:sz w:val="20"/>
          <w:szCs w:val="20"/>
        </w:rPr>
      </w:pPr>
      <w:bookmarkEnd w:id="403"/>
      <w:bookmarkEnd w:id="404"/>
      <w:r w:rsidRPr="008E1AE3">
        <w:rPr>
          <w:sz w:val="20"/>
          <w:szCs w:val="20"/>
        </w:rPr>
        <w:t xml:space="preserve">Note: </w:t>
      </w:r>
      <w:r w:rsidR="005B035E">
        <w:rPr>
          <w:sz w:val="20"/>
          <w:szCs w:val="20"/>
        </w:rPr>
        <w:t xml:space="preserve">HBC </w:t>
      </w:r>
      <w:r w:rsidR="005B035E">
        <w:rPr>
          <w:noProof/>
          <w:sz w:val="20"/>
          <w:szCs w:val="20"/>
        </w:rPr>
        <w:t xml:space="preserve">contracts of </w:t>
      </w:r>
      <w:r w:rsidR="005B035E">
        <w:rPr>
          <w:sz w:val="20"/>
          <w:szCs w:val="20"/>
        </w:rPr>
        <w:t>i</w:t>
      </w:r>
      <w:r w:rsidR="00863260">
        <w:rPr>
          <w:sz w:val="20"/>
          <w:szCs w:val="20"/>
        </w:rPr>
        <w:t>nsurance</w:t>
      </w:r>
      <w:r w:rsidRPr="008E1AE3" w:rsidR="00863260">
        <w:rPr>
          <w:sz w:val="20"/>
          <w:szCs w:val="20"/>
        </w:rPr>
        <w:t xml:space="preserve"> </w:t>
      </w:r>
      <w:r w:rsidRPr="008E1AE3">
        <w:rPr>
          <w:sz w:val="20"/>
          <w:szCs w:val="20"/>
        </w:rPr>
        <w:t xml:space="preserve">for </w:t>
      </w:r>
      <w:r w:rsidR="00BA400A">
        <w:rPr>
          <w:sz w:val="20"/>
          <w:szCs w:val="20"/>
        </w:rPr>
        <w:t>h</w:t>
      </w:r>
      <w:r w:rsidRPr="00BA400A" w:rsidR="00BA400A">
        <w:rPr>
          <w:sz w:val="20"/>
          <w:szCs w:val="20"/>
        </w:rPr>
        <w:t>igh rise buildings</w:t>
      </w:r>
      <w:r w:rsidR="00BA400A">
        <w:rPr>
          <w:sz w:val="20"/>
          <w:szCs w:val="20"/>
        </w:rPr>
        <w:t>, i.e.</w:t>
      </w:r>
      <w:r w:rsidRPr="00BA400A" w:rsidR="00BA400A">
        <w:rPr>
          <w:sz w:val="20"/>
          <w:szCs w:val="20"/>
        </w:rPr>
        <w:t xml:space="preserve"> </w:t>
      </w:r>
      <w:r w:rsidR="005B035E">
        <w:rPr>
          <w:sz w:val="20"/>
          <w:szCs w:val="20"/>
        </w:rPr>
        <w:t>n</w:t>
      </w:r>
      <w:r w:rsidRPr="008E1AE3">
        <w:rPr>
          <w:sz w:val="20"/>
          <w:szCs w:val="20"/>
        </w:rPr>
        <w:t>ew multi</w:t>
      </w:r>
      <w:r w:rsidR="005805F2">
        <w:rPr>
          <w:sz w:val="20"/>
          <w:szCs w:val="20"/>
        </w:rPr>
        <w:t xml:space="preserve">ple </w:t>
      </w:r>
      <w:r w:rsidRPr="008E1AE3">
        <w:rPr>
          <w:sz w:val="20"/>
          <w:szCs w:val="20"/>
        </w:rPr>
        <w:t>dwelling</w:t>
      </w:r>
      <w:r w:rsidR="005805F2">
        <w:rPr>
          <w:sz w:val="20"/>
          <w:szCs w:val="20"/>
        </w:rPr>
        <w:t>s</w:t>
      </w:r>
      <w:r w:rsidRPr="008E1AE3">
        <w:rPr>
          <w:sz w:val="20"/>
          <w:szCs w:val="20"/>
        </w:rPr>
        <w:t xml:space="preserve"> (greater than three storeys)</w:t>
      </w:r>
      <w:r w:rsidR="00BA400A">
        <w:rPr>
          <w:sz w:val="20"/>
          <w:szCs w:val="20"/>
        </w:rPr>
        <w:t>,</w:t>
      </w:r>
      <w:r w:rsidRPr="008E1AE3">
        <w:rPr>
          <w:sz w:val="20"/>
          <w:szCs w:val="20"/>
        </w:rPr>
        <w:t xml:space="preserve"> </w:t>
      </w:r>
      <w:r w:rsidR="00902280">
        <w:rPr>
          <w:sz w:val="20"/>
          <w:szCs w:val="20"/>
        </w:rPr>
        <w:t>ceased to be</w:t>
      </w:r>
      <w:r w:rsidRPr="008E1AE3">
        <w:rPr>
          <w:sz w:val="20"/>
          <w:szCs w:val="20"/>
        </w:rPr>
        <w:t xml:space="preserve"> issued after December 2003.</w:t>
      </w:r>
    </w:p>
    <w:p w:rsidR="004C6507" w:rsidRPr="008E1AE3" w:rsidP="2563B92E" w14:paraId="06F6E55B" w14:textId="77777777">
      <w:pPr>
        <w:pStyle w:val="Heading1"/>
        <w:pageBreakBefore/>
      </w:pPr>
      <w:bookmarkStart w:id="410" w:name="_Toc2695061"/>
      <w:bookmarkStart w:id="411" w:name="_Toc4144952"/>
      <w:bookmarkStart w:id="412" w:name="_Toc4483541"/>
      <w:bookmarkStart w:id="413" w:name="_Toc4485225"/>
      <w:bookmarkStart w:id="414" w:name="_Toc15488364"/>
      <w:bookmarkStart w:id="415" w:name="_Ref2071146"/>
      <w:bookmarkStart w:id="416" w:name="_Toc2073669"/>
      <w:bookmarkStart w:id="417" w:name="_Toc2083989"/>
      <w:bookmarkStart w:id="418" w:name="_Toc2085912"/>
      <w:r w:rsidRPr="008E1AE3">
        <w:t>Appendices</w:t>
      </w:r>
      <w:bookmarkEnd w:id="410"/>
      <w:bookmarkEnd w:id="411"/>
      <w:bookmarkEnd w:id="412"/>
      <w:bookmarkEnd w:id="413"/>
      <w:bookmarkEnd w:id="414"/>
    </w:p>
    <w:p w:rsidR="004C6507" w:rsidRPr="008E1AE3" w:rsidP="038C41FA" w14:paraId="48C99A1E" w14:textId="77777777">
      <w:pPr>
        <w:pStyle w:val="Heading2"/>
      </w:pPr>
      <w:bookmarkStart w:id="419" w:name="_Toc2695062"/>
      <w:bookmarkStart w:id="420" w:name="_Toc4144953"/>
      <w:bookmarkStart w:id="421" w:name="_Toc4483542"/>
      <w:bookmarkStart w:id="422" w:name="_Toc4485226"/>
      <w:bookmarkStart w:id="423" w:name="_Toc15488365"/>
      <w:bookmarkStart w:id="424" w:name="_Hlk5622279"/>
      <w:r w:rsidRPr="008E1AE3">
        <w:t>Appendix 1 - Home building compensation scheme changes in NSW</w:t>
      </w:r>
      <w:bookmarkEnd w:id="419"/>
      <w:bookmarkEnd w:id="420"/>
      <w:bookmarkEnd w:id="421"/>
      <w:bookmarkEnd w:id="422"/>
      <w:bookmarkEnd w:id="423"/>
    </w:p>
    <w:tbl>
      <w:tblPr>
        <w:tblStyle w:val="Style4"/>
        <w:tblCaption w:val="Appendix 1 table"/>
        <w:tblDescription w:val="Table with one row header, and three columns. Note that some of the cells on the first column were merged, making this table irregular."/>
        <w:tblW w:w="10013" w:type="dxa"/>
        <w:tblLook w:val="04A0"/>
      </w:tblPr>
      <w:tblGrid>
        <w:gridCol w:w="2981"/>
        <w:gridCol w:w="4120"/>
        <w:gridCol w:w="2912"/>
      </w:tblGrid>
      <w:tr w14:paraId="1BD797EE" w14:textId="77777777" w:rsidTr="00370B86">
        <w:tblPrEx>
          <w:tblW w:w="10013" w:type="dxa"/>
          <w:tblLook w:val="04A0"/>
        </w:tblPrEx>
        <w:trPr>
          <w:cantSplit/>
          <w:tblHeader/>
        </w:trPr>
        <w:tc>
          <w:tcPr>
            <w:tcW w:w="0" w:type="dxa"/>
          </w:tcPr>
          <w:p w:rsidR="004C6507" w:rsidRPr="008E1AE3" w:rsidP="000C6C26" w14:paraId="792A445E" w14:textId="77777777">
            <w:pPr>
              <w:rPr>
                <w:sz w:val="24"/>
                <w:szCs w:val="24"/>
              </w:rPr>
            </w:pPr>
            <w:r w:rsidRPr="008E1AE3">
              <w:rPr>
                <w:sz w:val="24"/>
                <w:szCs w:val="24"/>
              </w:rPr>
              <w:t>Change</w:t>
            </w:r>
          </w:p>
        </w:tc>
        <w:tc>
          <w:tcPr>
            <w:tcW w:w="0" w:type="dxa"/>
          </w:tcPr>
          <w:p w:rsidR="004C6507" w:rsidRPr="008E1AE3" w:rsidP="000C6C26" w14:paraId="658DB153" w14:textId="77777777">
            <w:pPr>
              <w:rPr>
                <w:b w:val="0"/>
                <w:sz w:val="24"/>
                <w:szCs w:val="24"/>
              </w:rPr>
            </w:pPr>
            <w:r w:rsidRPr="008E1AE3">
              <w:rPr>
                <w:sz w:val="24"/>
                <w:szCs w:val="24"/>
              </w:rPr>
              <w:t>Description</w:t>
            </w:r>
          </w:p>
        </w:tc>
        <w:tc>
          <w:tcPr>
            <w:tcW w:w="0" w:type="dxa"/>
          </w:tcPr>
          <w:p w:rsidR="004C6507" w:rsidRPr="008E1AE3" w:rsidP="000C6C26" w14:paraId="07D89BA4" w14:textId="33E6A8D3">
            <w:pPr>
              <w:rPr>
                <w:b w:val="0"/>
                <w:sz w:val="24"/>
                <w:szCs w:val="24"/>
              </w:rPr>
            </w:pPr>
            <w:r w:rsidRPr="008E1AE3">
              <w:rPr>
                <w:sz w:val="24"/>
                <w:szCs w:val="24"/>
              </w:rPr>
              <w:t xml:space="preserve">Effective </w:t>
            </w:r>
            <w:r w:rsidR="00D925A7">
              <w:rPr>
                <w:sz w:val="24"/>
                <w:szCs w:val="24"/>
              </w:rPr>
              <w:t>d</w:t>
            </w:r>
            <w:r w:rsidRPr="008E1AE3">
              <w:rPr>
                <w:sz w:val="24"/>
                <w:szCs w:val="24"/>
              </w:rPr>
              <w:t>ate</w:t>
            </w:r>
          </w:p>
        </w:tc>
      </w:tr>
      <w:tr w14:paraId="13A4B0A1" w14:textId="77777777" w:rsidTr="00253B10">
        <w:tblPrEx>
          <w:tblW w:w="10013" w:type="dxa"/>
          <w:tblLook w:val="04A0"/>
        </w:tblPrEx>
        <w:trPr>
          <w:cantSplit/>
          <w:trHeight w:val="1772"/>
        </w:trPr>
        <w:tc>
          <w:tcPr>
            <w:tcW w:w="0" w:type="dxa"/>
            <w:vMerge w:val="restart"/>
          </w:tcPr>
          <w:p w:rsidR="004C6507" w:rsidRPr="008E1AE3" w:rsidP="038C41FA" w14:paraId="38EC4586" w14:textId="77777777">
            <w:r w:rsidRPr="008E1AE3">
              <w:t>Definition of defects</w:t>
            </w:r>
          </w:p>
        </w:tc>
        <w:tc>
          <w:tcPr>
            <w:tcW w:w="0" w:type="dxa"/>
          </w:tcPr>
          <w:p w:rsidR="004C6507" w:rsidRPr="008E1AE3" w:rsidP="038C41FA" w14:paraId="5B340B22" w14:textId="77777777">
            <w:r w:rsidRPr="008E1AE3">
              <w:t>Structural defects and non-structural defects are called ‘major defects’ and ‘other loss’ respectively.</w:t>
            </w:r>
          </w:p>
          <w:p w:rsidR="004C6507" w:rsidRPr="008E1AE3" w:rsidP="038C41FA" w14:paraId="769BEEF1" w14:textId="77777777">
            <w:r w:rsidRPr="008E1AE3">
              <w:t xml:space="preserve">A new definition is introduced for ‘major defects’. </w:t>
            </w:r>
          </w:p>
        </w:tc>
        <w:tc>
          <w:tcPr>
            <w:tcW w:w="0" w:type="dxa"/>
          </w:tcPr>
          <w:p w:rsidR="004C6507" w:rsidRPr="008E1AE3" w:rsidP="038C41FA" w14:paraId="572A7A5A" w14:textId="77777777">
            <w:r w:rsidRPr="008E1AE3">
              <w:t>15 January 2015</w:t>
            </w:r>
          </w:p>
        </w:tc>
      </w:tr>
      <w:tr w14:paraId="630BE165" w14:textId="77777777" w:rsidTr="00253B10">
        <w:tblPrEx>
          <w:tblW w:w="10013" w:type="dxa"/>
          <w:tblLook w:val="04A0"/>
        </w:tblPrEx>
        <w:trPr>
          <w:cantSplit/>
          <w:trHeight w:val="607"/>
        </w:trPr>
        <w:tc>
          <w:tcPr>
            <w:tcW w:w="0" w:type="dxa"/>
            <w:vMerge/>
          </w:tcPr>
          <w:p w:rsidR="004C6507" w:rsidRPr="008E1AE3" w:rsidP="000C6C26" w14:paraId="3018D37A" w14:textId="77777777"/>
        </w:tc>
        <w:tc>
          <w:tcPr>
            <w:tcW w:w="0" w:type="dxa"/>
          </w:tcPr>
          <w:p w:rsidR="004C6507" w:rsidRPr="008E1AE3" w:rsidP="038C41FA" w14:paraId="4375B1A2" w14:textId="77777777">
            <w:r w:rsidRPr="008E1AE3">
              <w:t>‘External cladding’ is prescribed as a major defect.</w:t>
            </w:r>
          </w:p>
        </w:tc>
        <w:tc>
          <w:tcPr>
            <w:tcW w:w="0" w:type="dxa"/>
          </w:tcPr>
          <w:p w:rsidR="004C6507" w:rsidRPr="008E1AE3" w:rsidP="038C41FA" w14:paraId="152C642D" w14:textId="77777777">
            <w:r w:rsidRPr="008E1AE3">
              <w:t>20 April 2018</w:t>
            </w:r>
          </w:p>
        </w:tc>
      </w:tr>
      <w:tr w14:paraId="2C9E4CC0" w14:textId="77777777" w:rsidTr="00253B10">
        <w:tblPrEx>
          <w:tblW w:w="10013" w:type="dxa"/>
          <w:tblLook w:val="04A0"/>
        </w:tblPrEx>
        <w:trPr>
          <w:cantSplit/>
        </w:trPr>
        <w:tc>
          <w:tcPr>
            <w:tcW w:w="0" w:type="dxa"/>
          </w:tcPr>
          <w:p w:rsidR="004C6507" w:rsidRPr="008E1AE3" w:rsidP="038C41FA" w14:paraId="59D2D1BB" w14:textId="77777777">
            <w:r w:rsidRPr="008E1AE3">
              <w:t>Eligibility profile</w:t>
            </w:r>
          </w:p>
        </w:tc>
        <w:tc>
          <w:tcPr>
            <w:tcW w:w="0" w:type="dxa"/>
          </w:tcPr>
          <w:p w:rsidR="004C6507" w:rsidRPr="008E1AE3" w:rsidP="038C41FA" w14:paraId="07C4DE4F" w14:textId="77777777">
            <w:r w:rsidRPr="008E1AE3">
              <w:t>Builder eligibility limit changed from ‘annual turnover limits’ to ‘open job limits’ i.e.– maximum number and value of jobs a builder may have under construction at any given time.</w:t>
            </w:r>
          </w:p>
        </w:tc>
        <w:tc>
          <w:tcPr>
            <w:tcW w:w="0" w:type="dxa"/>
          </w:tcPr>
          <w:p w:rsidR="004C6507" w:rsidRPr="008E1AE3" w:rsidP="038C41FA" w14:paraId="26913B57" w14:textId="77777777">
            <w:r w:rsidRPr="008E1AE3">
              <w:t xml:space="preserve">18 August 2015 </w:t>
            </w:r>
          </w:p>
        </w:tc>
      </w:tr>
      <w:tr w14:paraId="00418BBB" w14:textId="77777777" w:rsidTr="00253B10">
        <w:tblPrEx>
          <w:tblW w:w="10013" w:type="dxa"/>
          <w:tblLook w:val="04A0"/>
        </w:tblPrEx>
        <w:trPr>
          <w:cantSplit/>
        </w:trPr>
        <w:tc>
          <w:tcPr>
            <w:tcW w:w="0" w:type="dxa"/>
          </w:tcPr>
          <w:p w:rsidR="004C6507" w:rsidRPr="008E1AE3" w:rsidP="038C41FA" w14:paraId="4FF33AEA" w14:textId="77777777">
            <w:r w:rsidRPr="008E1AE3">
              <w:t>Excess fee, if claim accepted</w:t>
            </w:r>
          </w:p>
        </w:tc>
        <w:tc>
          <w:tcPr>
            <w:tcW w:w="0" w:type="dxa"/>
          </w:tcPr>
          <w:p w:rsidR="004C6507" w:rsidRPr="008E1AE3" w:rsidP="038C41FA" w14:paraId="412802B1" w14:textId="77777777">
            <w:r w:rsidRPr="008E1AE3">
              <w:t>Reduced to $250 (previously $500)</w:t>
            </w:r>
          </w:p>
        </w:tc>
        <w:tc>
          <w:tcPr>
            <w:tcW w:w="0" w:type="dxa"/>
          </w:tcPr>
          <w:p w:rsidR="004C6507" w:rsidRPr="008E1AE3" w:rsidP="038C41FA" w14:paraId="36FC186B" w14:textId="77777777">
            <w:r w:rsidRPr="008E1AE3">
              <w:t xml:space="preserve">15 January 2015 </w:t>
            </w:r>
          </w:p>
        </w:tc>
      </w:tr>
      <w:tr w14:paraId="51655C86" w14:textId="77777777" w:rsidTr="00253B10">
        <w:tblPrEx>
          <w:tblW w:w="10013" w:type="dxa"/>
          <w:tblLook w:val="04A0"/>
        </w:tblPrEx>
        <w:trPr>
          <w:cantSplit/>
        </w:trPr>
        <w:tc>
          <w:tcPr>
            <w:tcW w:w="0" w:type="dxa"/>
          </w:tcPr>
          <w:p w:rsidR="004C6507" w:rsidRPr="008E1AE3" w:rsidP="038C41FA" w14:paraId="6D9A23A7" w14:textId="77777777">
            <w:r w:rsidRPr="008E1AE3">
              <w:t>Exemption for multi-storey buildings</w:t>
            </w:r>
          </w:p>
        </w:tc>
        <w:tc>
          <w:tcPr>
            <w:tcW w:w="0" w:type="dxa"/>
          </w:tcPr>
          <w:p w:rsidR="004C6507" w:rsidRPr="008E1AE3" w:rsidP="038C41FA" w14:paraId="4D56A9A4" w14:textId="77777777">
            <w:r w:rsidRPr="008E1AE3">
              <w:t>High rise buildings (more than three storeys that contain multiple dwellings) are no longer covered under the scheme.</w:t>
            </w:r>
          </w:p>
        </w:tc>
        <w:tc>
          <w:tcPr>
            <w:tcW w:w="0" w:type="dxa"/>
          </w:tcPr>
          <w:p w:rsidR="004C6507" w:rsidRPr="008E1AE3" w:rsidP="038C41FA" w14:paraId="10B6D711" w14:textId="77777777">
            <w:r w:rsidRPr="008E1AE3">
              <w:t xml:space="preserve">1 January 2004 </w:t>
            </w:r>
          </w:p>
        </w:tc>
      </w:tr>
      <w:tr w14:paraId="51A18A43" w14:textId="77777777" w:rsidTr="00253B10">
        <w:tblPrEx>
          <w:tblW w:w="10013" w:type="dxa"/>
          <w:tblLook w:val="04A0"/>
        </w:tblPrEx>
        <w:trPr>
          <w:cantSplit/>
        </w:trPr>
        <w:tc>
          <w:tcPr>
            <w:tcW w:w="0" w:type="dxa"/>
          </w:tcPr>
          <w:p w:rsidR="004C6507" w:rsidRPr="008E1AE3" w:rsidP="038C41FA" w14:paraId="389B671C" w14:textId="77777777">
            <w:r w:rsidRPr="008E1AE3">
              <w:t>Exemption for certain stand- alone contracts</w:t>
            </w:r>
          </w:p>
        </w:tc>
        <w:tc>
          <w:tcPr>
            <w:tcW w:w="0" w:type="dxa"/>
          </w:tcPr>
          <w:p w:rsidR="004C6507" w:rsidRPr="008E1AE3" w:rsidP="038C41FA" w14:paraId="3CCF5C43" w14:textId="77777777">
            <w:r w:rsidRPr="008E1AE3">
              <w:rPr>
                <w:rFonts w:cs="Arial"/>
              </w:rPr>
              <w:t>Internal paintwork; kitchen and bathroom cabinetry; tennis courts; and ornamental ponds are not covered if work is done as a stand-alone contract.</w:t>
            </w:r>
          </w:p>
        </w:tc>
        <w:tc>
          <w:tcPr>
            <w:tcW w:w="0" w:type="dxa"/>
          </w:tcPr>
          <w:p w:rsidR="004C6507" w:rsidRPr="008E1AE3" w:rsidP="038C41FA" w14:paraId="7A134DEE" w14:textId="77777777">
            <w:r w:rsidRPr="008E1AE3">
              <w:t>15 January 2015</w:t>
            </w:r>
          </w:p>
        </w:tc>
      </w:tr>
      <w:tr w14:paraId="41672066" w14:textId="77777777" w:rsidTr="00253B10">
        <w:tblPrEx>
          <w:tblW w:w="10013" w:type="dxa"/>
          <w:tblLook w:val="04A0"/>
        </w:tblPrEx>
        <w:trPr>
          <w:cantSplit/>
        </w:trPr>
        <w:tc>
          <w:tcPr>
            <w:tcW w:w="0" w:type="dxa"/>
          </w:tcPr>
          <w:p w:rsidR="004C6507" w:rsidRPr="008E1AE3" w:rsidP="038C41FA" w14:paraId="3D420E46" w14:textId="77777777">
            <w:r w:rsidRPr="008E1AE3">
              <w:t>Incomplete work</w:t>
            </w:r>
          </w:p>
        </w:tc>
        <w:tc>
          <w:tcPr>
            <w:tcW w:w="0" w:type="dxa"/>
          </w:tcPr>
          <w:p w:rsidR="004C6507" w:rsidRPr="008E1AE3" w:rsidP="038C41FA" w14:paraId="2A2A566B" w14:textId="40D9CB23">
            <w:pPr>
              <w:pStyle w:val="TableBody"/>
            </w:pPr>
            <w:r w:rsidRPr="008E1AE3">
              <w:t>The cap of 20</w:t>
            </w:r>
            <w:r w:rsidRPr="008E1AE3" w:rsidR="003F6A5F">
              <w:t>%</w:t>
            </w:r>
            <w:r w:rsidRPr="008E1AE3">
              <w:t xml:space="preserve"> of the contract price (including any agreed variations) changed to not less than 20</w:t>
            </w:r>
            <w:r w:rsidRPr="008E1AE3" w:rsidR="003F6A5F">
              <w:t xml:space="preserve">% </w:t>
            </w:r>
            <w:r w:rsidRPr="008E1AE3">
              <w:t>of the contract price (including any agreed variations) for failing to complete works.</w:t>
            </w:r>
          </w:p>
        </w:tc>
        <w:tc>
          <w:tcPr>
            <w:tcW w:w="0" w:type="dxa"/>
          </w:tcPr>
          <w:p w:rsidR="004C6507" w:rsidRPr="008E1AE3" w:rsidP="038C41FA" w14:paraId="3542092F" w14:textId="77777777">
            <w:r w:rsidRPr="008E1AE3">
              <w:t>1 February 2012</w:t>
            </w:r>
          </w:p>
        </w:tc>
      </w:tr>
      <w:tr w14:paraId="5FDFD4F3" w14:textId="77777777" w:rsidTr="00253B10">
        <w:tblPrEx>
          <w:tblW w:w="10013" w:type="dxa"/>
          <w:tblLook w:val="04A0"/>
        </w:tblPrEx>
        <w:trPr>
          <w:cantSplit/>
          <w:trHeight w:val="451"/>
        </w:trPr>
        <w:tc>
          <w:tcPr>
            <w:tcW w:w="0" w:type="dxa"/>
            <w:vMerge w:val="restart"/>
          </w:tcPr>
          <w:p w:rsidR="004C6507" w:rsidRPr="008E1AE3" w:rsidP="038C41FA" w14:paraId="2C52B81B" w14:textId="77777777">
            <w:r w:rsidRPr="008E1AE3">
              <w:t>HBC Insurer</w:t>
            </w:r>
          </w:p>
        </w:tc>
        <w:tc>
          <w:tcPr>
            <w:tcW w:w="0" w:type="dxa"/>
          </w:tcPr>
          <w:p w:rsidR="004C6507" w:rsidRPr="008E1AE3" w:rsidP="038C41FA" w14:paraId="7C6DAF7C" w14:textId="77777777">
            <w:r w:rsidRPr="008E1AE3">
              <w:t>Runoff insurers ceased writing HBC business.</w:t>
            </w:r>
          </w:p>
        </w:tc>
        <w:tc>
          <w:tcPr>
            <w:tcW w:w="0" w:type="dxa"/>
          </w:tcPr>
          <w:p w:rsidR="004C6507" w:rsidRPr="008E1AE3" w:rsidP="038C41FA" w14:paraId="16F2136C" w14:textId="77777777">
            <w:r w:rsidRPr="008E1AE3">
              <w:t>On or before 30 June 2010</w:t>
            </w:r>
          </w:p>
        </w:tc>
      </w:tr>
      <w:tr w14:paraId="742E67C8" w14:textId="77777777" w:rsidTr="00253B10">
        <w:tblPrEx>
          <w:tblW w:w="10013" w:type="dxa"/>
          <w:tblLook w:val="04A0"/>
        </w:tblPrEx>
        <w:trPr>
          <w:cantSplit/>
          <w:trHeight w:val="575"/>
        </w:trPr>
        <w:tc>
          <w:tcPr>
            <w:tcW w:w="0" w:type="dxa"/>
            <w:vMerge/>
          </w:tcPr>
          <w:p w:rsidR="004C6507" w:rsidRPr="008E1AE3" w:rsidP="000C6C26" w14:paraId="28F94964" w14:textId="77777777"/>
        </w:tc>
        <w:tc>
          <w:tcPr>
            <w:tcW w:w="0" w:type="dxa"/>
          </w:tcPr>
          <w:p w:rsidR="004C6507" w:rsidRPr="008E1AE3" w:rsidP="000C6C26" w14:paraId="7E81565E" w14:textId="55BA261D">
            <w:r w:rsidRPr="008E1AE3">
              <w:t xml:space="preserve">icare </w:t>
            </w:r>
            <w:r w:rsidR="000056F1">
              <w:t>HBCF</w:t>
            </w:r>
            <w:r w:rsidRPr="008E1AE3">
              <w:t xml:space="preserve"> became sole provider of HBC </w:t>
            </w:r>
            <w:r w:rsidR="005A5201">
              <w:t>insurance</w:t>
            </w:r>
            <w:r w:rsidRPr="008E1AE3">
              <w:t>.</w:t>
            </w:r>
          </w:p>
        </w:tc>
        <w:tc>
          <w:tcPr>
            <w:tcW w:w="0" w:type="dxa"/>
          </w:tcPr>
          <w:p w:rsidR="004C6507" w:rsidRPr="008E1AE3" w:rsidP="038C41FA" w14:paraId="42DB5A92" w14:textId="77777777">
            <w:r w:rsidRPr="008E1AE3">
              <w:t>1 July 2010</w:t>
            </w:r>
          </w:p>
        </w:tc>
      </w:tr>
      <w:tr w14:paraId="71A8D812" w14:textId="77777777" w:rsidTr="00253B10">
        <w:tblPrEx>
          <w:tblW w:w="10013" w:type="dxa"/>
          <w:tblLook w:val="04A0"/>
        </w:tblPrEx>
        <w:trPr>
          <w:cantSplit/>
          <w:trHeight w:val="676"/>
        </w:trPr>
        <w:tc>
          <w:tcPr>
            <w:tcW w:w="0" w:type="dxa"/>
            <w:vMerge w:val="restart"/>
          </w:tcPr>
          <w:p w:rsidR="004C6507" w:rsidRPr="008E1AE3" w:rsidP="038C41FA" w14:paraId="33504E35" w14:textId="77777777">
            <w:r w:rsidRPr="008E1AE3">
              <w:t>Minimum Cover</w:t>
            </w:r>
          </w:p>
        </w:tc>
        <w:tc>
          <w:tcPr>
            <w:tcW w:w="0" w:type="dxa"/>
          </w:tcPr>
          <w:p w:rsidR="004C6507" w:rsidRPr="008E1AE3" w:rsidP="038C41FA" w14:paraId="2AD5061F" w14:textId="77777777">
            <w:r w:rsidRPr="008E1AE3">
              <w:t>Increased to $300,000</w:t>
            </w:r>
          </w:p>
          <w:p w:rsidR="004C6507" w:rsidRPr="008E1AE3" w:rsidP="038C41FA" w14:paraId="495895F3" w14:textId="77777777">
            <w:r w:rsidRPr="008E1AE3">
              <w:t>(previously $200,000)</w:t>
            </w:r>
          </w:p>
        </w:tc>
        <w:tc>
          <w:tcPr>
            <w:tcW w:w="0" w:type="dxa"/>
          </w:tcPr>
          <w:p w:rsidR="004C6507" w:rsidRPr="008E1AE3" w:rsidP="038C41FA" w14:paraId="667D5814" w14:textId="77777777">
            <w:r w:rsidRPr="008E1AE3">
              <w:t>28 February 2007</w:t>
            </w:r>
          </w:p>
        </w:tc>
      </w:tr>
      <w:tr w14:paraId="4A486765" w14:textId="77777777" w:rsidTr="00253B10">
        <w:tblPrEx>
          <w:tblW w:w="10013" w:type="dxa"/>
          <w:tblLook w:val="04A0"/>
        </w:tblPrEx>
        <w:trPr>
          <w:cantSplit/>
          <w:trHeight w:val="676"/>
        </w:trPr>
        <w:tc>
          <w:tcPr>
            <w:tcW w:w="0" w:type="dxa"/>
            <w:vMerge/>
          </w:tcPr>
          <w:p w:rsidR="004C6507" w:rsidRPr="008E1AE3" w:rsidP="000C6C26" w14:paraId="75761E73" w14:textId="77777777"/>
        </w:tc>
        <w:tc>
          <w:tcPr>
            <w:tcW w:w="0" w:type="dxa"/>
          </w:tcPr>
          <w:p w:rsidR="004C6507" w:rsidRPr="008E1AE3" w:rsidP="038C41FA" w14:paraId="4F7B21FB" w14:textId="77777777">
            <w:r w:rsidRPr="008E1AE3">
              <w:t>Increased to $340,000</w:t>
            </w:r>
          </w:p>
          <w:p w:rsidR="004C6507" w:rsidRPr="008E1AE3" w:rsidP="038C41FA" w14:paraId="41D36BEE" w14:textId="77777777">
            <w:r w:rsidRPr="008E1AE3">
              <w:t>(previously $300,000)</w:t>
            </w:r>
          </w:p>
        </w:tc>
        <w:tc>
          <w:tcPr>
            <w:tcW w:w="0" w:type="dxa"/>
          </w:tcPr>
          <w:p w:rsidR="004C6507" w:rsidRPr="008E1AE3" w:rsidP="038C41FA" w14:paraId="66E069D1" w14:textId="77777777">
            <w:r w:rsidRPr="008E1AE3">
              <w:t>1 February 2012</w:t>
            </w:r>
          </w:p>
        </w:tc>
      </w:tr>
      <w:tr w14:paraId="0A1B2C27" w14:textId="77777777" w:rsidTr="00253B10">
        <w:tblPrEx>
          <w:tblW w:w="10013" w:type="dxa"/>
          <w:tblLook w:val="04A0"/>
        </w:tblPrEx>
        <w:trPr>
          <w:cantSplit/>
          <w:trHeight w:val="406"/>
        </w:trPr>
        <w:tc>
          <w:tcPr>
            <w:tcW w:w="0" w:type="dxa"/>
            <w:vMerge/>
          </w:tcPr>
          <w:p w:rsidR="004C6507" w:rsidRPr="008E1AE3" w:rsidP="000C6C26" w14:paraId="56B359D1" w14:textId="77777777"/>
        </w:tc>
        <w:tc>
          <w:tcPr>
            <w:tcW w:w="0" w:type="dxa"/>
          </w:tcPr>
          <w:p w:rsidR="004C6507" w:rsidRPr="008E1AE3" w:rsidP="038C41FA" w14:paraId="398995BF" w14:textId="77777777">
            <w:r w:rsidRPr="008E1AE3">
              <w:t>$340,000 for single (combined) contract</w:t>
            </w:r>
          </w:p>
        </w:tc>
        <w:tc>
          <w:tcPr>
            <w:tcW w:w="0" w:type="dxa"/>
          </w:tcPr>
          <w:p w:rsidR="004C6507" w:rsidRPr="008E1AE3" w:rsidP="038C41FA" w14:paraId="6E428CA9" w14:textId="77777777">
            <w:r w:rsidRPr="008E1AE3">
              <w:t>1 January 2018</w:t>
            </w:r>
          </w:p>
        </w:tc>
      </w:tr>
      <w:tr w14:paraId="3AB256D6" w14:textId="77777777" w:rsidTr="00253B10">
        <w:tblPrEx>
          <w:tblW w:w="10013" w:type="dxa"/>
          <w:tblLook w:val="04A0"/>
        </w:tblPrEx>
        <w:trPr>
          <w:cantSplit/>
          <w:trHeight w:val="646"/>
        </w:trPr>
        <w:tc>
          <w:tcPr>
            <w:tcW w:w="0" w:type="dxa"/>
            <w:vMerge/>
          </w:tcPr>
          <w:p w:rsidR="004C6507" w:rsidRPr="008E1AE3" w:rsidP="000C6C26" w14:paraId="4F799847" w14:textId="77777777"/>
        </w:tc>
        <w:tc>
          <w:tcPr>
            <w:tcW w:w="0" w:type="dxa"/>
          </w:tcPr>
          <w:p w:rsidR="004C6507" w:rsidRPr="008E1AE3" w:rsidP="038C41FA" w14:paraId="06D3B9E8" w14:textId="77777777">
            <w:r w:rsidRPr="008E1AE3">
              <w:t>$340,000 each for separate contracts for construction period or warranty period.</w:t>
            </w:r>
          </w:p>
        </w:tc>
        <w:tc>
          <w:tcPr>
            <w:tcW w:w="0" w:type="dxa"/>
          </w:tcPr>
          <w:p w:rsidR="004C6507" w:rsidRPr="008E1AE3" w:rsidP="038C41FA" w14:paraId="038FB228" w14:textId="77777777">
            <w:r w:rsidRPr="008E1AE3">
              <w:t>1 January 2018 (not available in the market yet)</w:t>
            </w:r>
          </w:p>
        </w:tc>
      </w:tr>
      <w:tr w14:paraId="36DC2DDF" w14:textId="77777777" w:rsidTr="00253B10">
        <w:tblPrEx>
          <w:tblW w:w="10013" w:type="dxa"/>
          <w:tblLook w:val="04A0"/>
        </w:tblPrEx>
        <w:trPr>
          <w:cantSplit/>
        </w:trPr>
        <w:tc>
          <w:tcPr>
            <w:tcW w:w="0" w:type="dxa"/>
          </w:tcPr>
          <w:p w:rsidR="004C6507" w:rsidRPr="008E1AE3" w:rsidP="038C41FA" w14:paraId="66BA3352" w14:textId="77777777">
            <w:r w:rsidRPr="008E1AE3">
              <w:t>Owner builders cover</w:t>
            </w:r>
          </w:p>
        </w:tc>
        <w:tc>
          <w:tcPr>
            <w:tcW w:w="0" w:type="dxa"/>
          </w:tcPr>
          <w:p w:rsidR="004C6507" w:rsidRPr="008E1AE3" w:rsidP="038C41FA" w14:paraId="104FB9FE" w14:textId="1EBE3795">
            <w:r w:rsidRPr="008E1AE3">
              <w:t xml:space="preserve">No longer issued. Instead, </w:t>
            </w:r>
            <w:r w:rsidRPr="008E1AE3" w:rsidR="00B27AA5">
              <w:t xml:space="preserve">if the property is sold within </w:t>
            </w:r>
            <w:r w:rsidR="00B27AA5">
              <w:t>seven</w:t>
            </w:r>
            <w:r w:rsidRPr="008E1AE3" w:rsidR="00B27AA5">
              <w:t xml:space="preserve"> years and six months from </w:t>
            </w:r>
            <w:r w:rsidR="00B27AA5">
              <w:t xml:space="preserve">the </w:t>
            </w:r>
            <w:r w:rsidRPr="008E1AE3" w:rsidR="00B27AA5">
              <w:t xml:space="preserve">date of issue of </w:t>
            </w:r>
            <w:r w:rsidR="00B27AA5">
              <w:t xml:space="preserve">the owner builder </w:t>
            </w:r>
            <w:r w:rsidRPr="008E1AE3" w:rsidR="00B27AA5">
              <w:t>permit</w:t>
            </w:r>
            <w:r w:rsidR="00B27AA5">
              <w:t>,</w:t>
            </w:r>
            <w:r w:rsidRPr="008E1AE3" w:rsidR="00B27AA5">
              <w:t xml:space="preserve"> </w:t>
            </w:r>
            <w:r w:rsidRPr="008E1AE3">
              <w:t xml:space="preserve">a consumer warning must be placed in the contract of sale of the owner-builder property stating that </w:t>
            </w:r>
            <w:r w:rsidRPr="008E1AE3">
              <w:rPr>
                <w:rFonts w:cs="Arial"/>
              </w:rPr>
              <w:t>the work is not insured</w:t>
            </w:r>
            <w:r w:rsidRPr="008E1AE3">
              <w:t>.</w:t>
            </w:r>
          </w:p>
        </w:tc>
        <w:tc>
          <w:tcPr>
            <w:tcW w:w="0" w:type="dxa"/>
          </w:tcPr>
          <w:p w:rsidR="004C6507" w:rsidRPr="008E1AE3" w:rsidP="038C41FA" w14:paraId="5D9EF9A6" w14:textId="77777777">
            <w:r w:rsidRPr="008E1AE3">
              <w:t xml:space="preserve">15 January 2015 </w:t>
            </w:r>
          </w:p>
        </w:tc>
      </w:tr>
      <w:tr w14:paraId="7F8061A1" w14:textId="77777777" w:rsidTr="00253B10">
        <w:tblPrEx>
          <w:tblW w:w="10013" w:type="dxa"/>
          <w:tblLook w:val="04A0"/>
        </w:tblPrEx>
        <w:trPr>
          <w:cantSplit/>
          <w:trHeight w:val="20"/>
        </w:trPr>
        <w:tc>
          <w:tcPr>
            <w:tcW w:w="0" w:type="dxa"/>
            <w:vMerge w:val="restart"/>
          </w:tcPr>
          <w:p w:rsidR="004C6507" w:rsidRPr="008E1AE3" w:rsidP="038C41FA" w14:paraId="37D89250" w14:textId="77777777">
            <w:r w:rsidRPr="008E1AE3">
              <w:t>Premium rates</w:t>
            </w:r>
          </w:p>
        </w:tc>
        <w:tc>
          <w:tcPr>
            <w:tcW w:w="0" w:type="dxa"/>
            <w:vMerge w:val="restart"/>
          </w:tcPr>
          <w:p w:rsidR="004C6507" w:rsidRPr="008E1AE3" w:rsidP="038C41FA" w14:paraId="0A71D9C9" w14:textId="5543504F">
            <w:r>
              <w:t>icare HBCF c</w:t>
            </w:r>
            <w:r w:rsidRPr="008E1AE3">
              <w:t>hanges in premium rates</w:t>
            </w:r>
          </w:p>
        </w:tc>
        <w:tc>
          <w:tcPr>
            <w:tcW w:w="0" w:type="dxa"/>
          </w:tcPr>
          <w:p w:rsidR="004C6507" w:rsidRPr="008E1AE3" w:rsidP="038C41FA" w14:paraId="4CBCBBE0" w14:textId="77777777">
            <w:r w:rsidRPr="008E1AE3">
              <w:t>3 April 2017</w:t>
            </w:r>
          </w:p>
        </w:tc>
      </w:tr>
      <w:tr w14:paraId="6546A9E4" w14:textId="77777777" w:rsidTr="00253B10">
        <w:tblPrEx>
          <w:tblW w:w="10013" w:type="dxa"/>
          <w:tblLook w:val="04A0"/>
        </w:tblPrEx>
        <w:trPr>
          <w:cantSplit/>
          <w:trHeight w:val="126"/>
        </w:trPr>
        <w:tc>
          <w:tcPr>
            <w:tcW w:w="0" w:type="dxa"/>
            <w:vMerge/>
          </w:tcPr>
          <w:p w:rsidR="004C6507" w:rsidRPr="008E1AE3" w:rsidP="000C6C26" w14:paraId="7B2E54D9" w14:textId="77777777"/>
        </w:tc>
        <w:tc>
          <w:tcPr>
            <w:tcW w:w="0" w:type="dxa"/>
            <w:vMerge/>
          </w:tcPr>
          <w:p w:rsidR="004C6507" w:rsidRPr="008E1AE3" w:rsidP="000C6C26" w14:paraId="3B79F04F" w14:textId="77777777"/>
        </w:tc>
        <w:tc>
          <w:tcPr>
            <w:tcW w:w="0" w:type="dxa"/>
          </w:tcPr>
          <w:p w:rsidR="004C6507" w:rsidRPr="008E1AE3" w:rsidP="038C41FA" w14:paraId="5004DAB1" w14:textId="77777777">
            <w:r w:rsidRPr="008E1AE3">
              <w:t>2 October 2017</w:t>
            </w:r>
          </w:p>
        </w:tc>
      </w:tr>
      <w:tr w14:paraId="1F68CA10" w14:textId="77777777" w:rsidTr="00253B10">
        <w:tblPrEx>
          <w:tblW w:w="10013" w:type="dxa"/>
          <w:tblLook w:val="04A0"/>
        </w:tblPrEx>
        <w:trPr>
          <w:cantSplit/>
          <w:trHeight w:val="37"/>
        </w:trPr>
        <w:tc>
          <w:tcPr>
            <w:tcW w:w="0" w:type="dxa"/>
            <w:vMerge/>
          </w:tcPr>
          <w:p w:rsidR="004C6507" w:rsidRPr="008E1AE3" w:rsidP="000C6C26" w14:paraId="62F077C0" w14:textId="77777777"/>
        </w:tc>
        <w:tc>
          <w:tcPr>
            <w:tcW w:w="0" w:type="dxa"/>
            <w:vMerge/>
          </w:tcPr>
          <w:p w:rsidR="004C6507" w:rsidRPr="008E1AE3" w:rsidP="000C6C26" w14:paraId="3E2EFE7B" w14:textId="77777777"/>
        </w:tc>
        <w:tc>
          <w:tcPr>
            <w:tcW w:w="0" w:type="dxa"/>
          </w:tcPr>
          <w:p w:rsidR="004C6507" w:rsidRPr="008E1AE3" w:rsidP="038C41FA" w14:paraId="2BE58695" w14:textId="77777777">
            <w:r w:rsidRPr="008E1AE3">
              <w:t>2 October 2018</w:t>
            </w:r>
          </w:p>
        </w:tc>
      </w:tr>
      <w:tr w14:paraId="00479B0E" w14:textId="77777777" w:rsidTr="00253B10">
        <w:tblPrEx>
          <w:tblW w:w="10013" w:type="dxa"/>
          <w:tblLook w:val="04A0"/>
        </w:tblPrEx>
        <w:trPr>
          <w:cantSplit/>
          <w:trHeight w:val="656"/>
        </w:trPr>
        <w:tc>
          <w:tcPr>
            <w:tcW w:w="0" w:type="dxa"/>
            <w:vMerge/>
          </w:tcPr>
          <w:p w:rsidR="004C6507" w:rsidRPr="008E1AE3" w:rsidP="000C6C26" w14:paraId="121C89AD" w14:textId="77777777"/>
        </w:tc>
        <w:tc>
          <w:tcPr>
            <w:tcW w:w="0" w:type="dxa"/>
          </w:tcPr>
          <w:p w:rsidR="004C6507" w:rsidRPr="008E1AE3" w:rsidP="000C6C26" w14:paraId="6BDA7EB9" w14:textId="00F63B32">
            <w:r w:rsidRPr="008E1AE3">
              <w:t xml:space="preserve">icare </w:t>
            </w:r>
            <w:r w:rsidR="00866642">
              <w:t xml:space="preserve">HBCF </w:t>
            </w:r>
            <w:r w:rsidRPr="008E1AE3">
              <w:t>ceased paying commission for brokers distributors.</w:t>
            </w:r>
          </w:p>
        </w:tc>
        <w:tc>
          <w:tcPr>
            <w:tcW w:w="0" w:type="dxa"/>
          </w:tcPr>
          <w:p w:rsidR="004C6507" w:rsidRPr="008E1AE3" w:rsidP="038C41FA" w14:paraId="383C66FC" w14:textId="77777777">
            <w:r w:rsidRPr="008E1AE3">
              <w:t>3 April 2017</w:t>
            </w:r>
          </w:p>
        </w:tc>
      </w:tr>
      <w:tr w14:paraId="73DC903F" w14:textId="77777777" w:rsidTr="00253B10">
        <w:tblPrEx>
          <w:tblW w:w="10013" w:type="dxa"/>
          <w:tblLook w:val="04A0"/>
        </w:tblPrEx>
        <w:trPr>
          <w:cantSplit/>
        </w:trPr>
        <w:tc>
          <w:tcPr>
            <w:tcW w:w="0" w:type="dxa"/>
          </w:tcPr>
          <w:p w:rsidR="004C6507" w:rsidRPr="008E1AE3" w:rsidP="038C41FA" w14:paraId="561422D4" w14:textId="77777777">
            <w:r w:rsidRPr="008E1AE3">
              <w:t>Regulator</w:t>
            </w:r>
          </w:p>
        </w:tc>
        <w:tc>
          <w:tcPr>
            <w:tcW w:w="0" w:type="dxa"/>
          </w:tcPr>
          <w:p w:rsidR="004C6507" w:rsidRPr="008E1AE3" w:rsidP="038C41FA" w14:paraId="5D890871" w14:textId="77777777">
            <w:r w:rsidRPr="008E1AE3">
              <w:t>State Insurance Regulatory Authority (SIRA) took over the role as HBC scheme regulator from NSW Fair Trading.</w:t>
            </w:r>
          </w:p>
        </w:tc>
        <w:tc>
          <w:tcPr>
            <w:tcW w:w="0" w:type="dxa"/>
          </w:tcPr>
          <w:p w:rsidR="004C6507" w:rsidRPr="008E1AE3" w:rsidP="038C41FA" w14:paraId="6D15AEB7" w14:textId="77777777">
            <w:r w:rsidRPr="008E1AE3">
              <w:t xml:space="preserve">1 September 2015 </w:t>
            </w:r>
          </w:p>
        </w:tc>
      </w:tr>
      <w:tr w14:paraId="78C9361B" w14:textId="77777777" w:rsidTr="00253B10">
        <w:tblPrEx>
          <w:tblW w:w="10013" w:type="dxa"/>
          <w:tblLook w:val="04A0"/>
        </w:tblPrEx>
        <w:trPr>
          <w:cantSplit/>
        </w:trPr>
        <w:tc>
          <w:tcPr>
            <w:tcW w:w="0" w:type="dxa"/>
          </w:tcPr>
          <w:p w:rsidR="004C6507" w:rsidRPr="008E1AE3" w:rsidP="038C41FA" w14:paraId="6F96C522" w14:textId="77777777">
            <w:r w:rsidRPr="008E1AE3">
              <w:t>Reforms</w:t>
            </w:r>
          </w:p>
        </w:tc>
        <w:tc>
          <w:tcPr>
            <w:tcW w:w="0" w:type="dxa"/>
          </w:tcPr>
          <w:p w:rsidR="004C6507" w:rsidRPr="008E1AE3" w:rsidP="038C41FA" w14:paraId="06159A1F" w14:textId="77777777">
            <w:r w:rsidRPr="008E1AE3">
              <w:t>Private insurers or alternate indemnity product providers can apply to SIRA for a licence to enter the market.</w:t>
            </w:r>
          </w:p>
          <w:p w:rsidR="004C6507" w:rsidRPr="008E1AE3" w:rsidP="038C41FA" w14:paraId="05C658FA" w14:textId="77777777">
            <w:r w:rsidRPr="008E1AE3">
              <w:t>Two types of covers may be offered:</w:t>
            </w:r>
          </w:p>
          <w:p w:rsidR="004C6507" w:rsidRPr="008E1AE3" w:rsidP="00C53DBD" w14:paraId="25502DC3" w14:textId="77777777">
            <w:pPr>
              <w:pStyle w:val="ListParagraph"/>
              <w:numPr>
                <w:ilvl w:val="0"/>
                <w:numId w:val="18"/>
              </w:numPr>
              <w:spacing w:before="0" w:after="0"/>
              <w:ind w:left="360"/>
            </w:pPr>
            <w:r w:rsidRPr="008E1AE3">
              <w:t>Combined cover, or</w:t>
            </w:r>
          </w:p>
          <w:p w:rsidR="004C6507" w:rsidRPr="008E1AE3" w:rsidP="00C53DBD" w14:paraId="0FF85B7F" w14:textId="77777777">
            <w:pPr>
              <w:pStyle w:val="ListParagraph"/>
              <w:numPr>
                <w:ilvl w:val="0"/>
                <w:numId w:val="18"/>
              </w:numPr>
              <w:spacing w:before="0" w:after="0"/>
              <w:ind w:left="360"/>
            </w:pPr>
            <w:r w:rsidRPr="008E1AE3">
              <w:t>Separate cover for construction period or warranty period.</w:t>
            </w:r>
          </w:p>
        </w:tc>
        <w:tc>
          <w:tcPr>
            <w:tcW w:w="0" w:type="dxa"/>
          </w:tcPr>
          <w:p w:rsidR="004C6507" w:rsidRPr="008E1AE3" w:rsidP="038C41FA" w14:paraId="45DADFD1" w14:textId="77777777">
            <w:r w:rsidRPr="008E1AE3">
              <w:t xml:space="preserve">1 January 2018 </w:t>
            </w:r>
          </w:p>
        </w:tc>
      </w:tr>
      <w:tr w14:paraId="5276CAE0" w14:textId="77777777" w:rsidTr="00253B10">
        <w:tblPrEx>
          <w:tblW w:w="10013" w:type="dxa"/>
          <w:tblLook w:val="04A0"/>
        </w:tblPrEx>
        <w:trPr>
          <w:cantSplit/>
        </w:trPr>
        <w:tc>
          <w:tcPr>
            <w:tcW w:w="0" w:type="dxa"/>
          </w:tcPr>
          <w:p w:rsidR="004C6507" w:rsidRPr="008E1AE3" w:rsidP="038C41FA" w14:paraId="5A2D9A33" w14:textId="77777777">
            <w:r w:rsidRPr="008E1AE3">
              <w:t>Runoff insurers</w:t>
            </w:r>
          </w:p>
        </w:tc>
        <w:tc>
          <w:tcPr>
            <w:tcW w:w="0" w:type="dxa"/>
          </w:tcPr>
          <w:p w:rsidR="004C6507" w:rsidRPr="008E1AE3" w:rsidP="038C41FA" w14:paraId="2281820D" w14:textId="77777777">
            <w:r w:rsidRPr="008E1AE3">
              <w:t>Private insurers approved by the Minister to underwrite home building compensation business.</w:t>
            </w:r>
          </w:p>
        </w:tc>
        <w:tc>
          <w:tcPr>
            <w:tcW w:w="0" w:type="dxa"/>
          </w:tcPr>
          <w:p w:rsidR="004C6507" w:rsidRPr="008E1AE3" w:rsidP="038C41FA" w14:paraId="5D66F94C" w14:textId="77777777">
            <w:r w:rsidRPr="008E1AE3">
              <w:t>1 July 2002 – 30 June 2010</w:t>
            </w:r>
          </w:p>
        </w:tc>
      </w:tr>
      <w:tr w14:paraId="75BA85E0" w14:textId="77777777" w:rsidTr="00253B10">
        <w:tblPrEx>
          <w:tblW w:w="10013" w:type="dxa"/>
          <w:tblLook w:val="04A0"/>
        </w:tblPrEx>
        <w:trPr>
          <w:cantSplit/>
          <w:trHeight w:val="895"/>
        </w:trPr>
        <w:tc>
          <w:tcPr>
            <w:tcW w:w="0" w:type="dxa"/>
            <w:vMerge w:val="restart"/>
          </w:tcPr>
          <w:p w:rsidR="004C6507" w:rsidRPr="008E1AE3" w:rsidP="038C41FA" w14:paraId="3251CD4A" w14:textId="77777777">
            <w:r w:rsidRPr="008E1AE3">
              <w:t>Scheme structure</w:t>
            </w:r>
          </w:p>
        </w:tc>
        <w:tc>
          <w:tcPr>
            <w:tcW w:w="0" w:type="dxa"/>
          </w:tcPr>
          <w:p w:rsidR="004C6507" w:rsidRPr="008E1AE3" w:rsidP="038C41FA" w14:paraId="073D6887" w14:textId="77777777">
            <w:r w:rsidRPr="008E1AE3">
              <w:t>Scheme changed from first resort to last resort. Claim can only be made if the builder died, disappeared or became insolvent.</w:t>
            </w:r>
          </w:p>
        </w:tc>
        <w:tc>
          <w:tcPr>
            <w:tcW w:w="0" w:type="dxa"/>
          </w:tcPr>
          <w:p w:rsidR="004C6507" w:rsidRPr="008E1AE3" w:rsidP="038C41FA" w14:paraId="59DFB1F2" w14:textId="77777777">
            <w:r w:rsidRPr="008E1AE3">
              <w:t>1 July 2002</w:t>
            </w:r>
          </w:p>
        </w:tc>
      </w:tr>
      <w:tr w14:paraId="321F21E3" w14:textId="77777777" w:rsidTr="00253B10">
        <w:tblPrEx>
          <w:tblW w:w="10013" w:type="dxa"/>
          <w:tblLook w:val="04A0"/>
        </w:tblPrEx>
        <w:trPr>
          <w:cantSplit/>
          <w:trHeight w:val="1118"/>
        </w:trPr>
        <w:tc>
          <w:tcPr>
            <w:tcW w:w="0" w:type="dxa"/>
            <w:vMerge/>
          </w:tcPr>
          <w:p w:rsidR="004C6507" w:rsidRPr="008E1AE3" w:rsidP="000C6C26" w14:paraId="0FAED0F9" w14:textId="77777777"/>
        </w:tc>
        <w:tc>
          <w:tcPr>
            <w:tcW w:w="0" w:type="dxa"/>
          </w:tcPr>
          <w:p w:rsidR="004C6507" w:rsidRPr="008E1AE3" w:rsidP="038C41FA" w14:paraId="409397D4" w14:textId="77777777">
            <w:r w:rsidRPr="008E1AE3">
              <w:t>Additional trigger – licence suspension due to non- payment of money order introduced (NCAT).</w:t>
            </w:r>
          </w:p>
        </w:tc>
        <w:tc>
          <w:tcPr>
            <w:tcW w:w="0" w:type="dxa"/>
          </w:tcPr>
          <w:p w:rsidR="004C6507" w:rsidRPr="008E1AE3" w:rsidP="038C41FA" w14:paraId="793482C5" w14:textId="77777777">
            <w:r w:rsidRPr="008E1AE3">
              <w:t>19 May 2009</w:t>
            </w:r>
          </w:p>
          <w:p w:rsidR="004C6507" w:rsidRPr="008E1AE3" w:rsidP="000C6C26" w14:paraId="6E89A8D7" w14:textId="77777777"/>
        </w:tc>
      </w:tr>
      <w:tr w14:paraId="30A93D7F" w14:textId="77777777" w:rsidTr="00253B10">
        <w:tblPrEx>
          <w:tblW w:w="10013" w:type="dxa"/>
          <w:tblLook w:val="04A0"/>
        </w:tblPrEx>
        <w:trPr>
          <w:cantSplit/>
          <w:trHeight w:val="20"/>
        </w:trPr>
        <w:tc>
          <w:tcPr>
            <w:tcW w:w="0" w:type="dxa"/>
          </w:tcPr>
          <w:p w:rsidR="004C6507" w:rsidRPr="008E1AE3" w:rsidP="038C41FA" w14:paraId="6F63DCF3" w14:textId="61550BB0">
            <w:r w:rsidRPr="008E1AE3">
              <w:t xml:space="preserve">Threshold (contract price requiring HBC </w:t>
            </w:r>
            <w:r w:rsidR="005A5201">
              <w:t>insurance</w:t>
            </w:r>
            <w:r w:rsidRPr="008E1AE3">
              <w:t>)</w:t>
            </w:r>
          </w:p>
        </w:tc>
        <w:tc>
          <w:tcPr>
            <w:tcW w:w="0" w:type="dxa"/>
          </w:tcPr>
          <w:p w:rsidR="004C6507" w:rsidRPr="008E1AE3" w:rsidP="038C41FA" w14:paraId="65204E29" w14:textId="77777777">
            <w:r w:rsidRPr="008E1AE3">
              <w:t>Increased to $20,000</w:t>
            </w:r>
          </w:p>
          <w:p w:rsidR="004C6507" w:rsidRPr="008E1AE3" w:rsidP="038C41FA" w14:paraId="23636CB6" w14:textId="77777777">
            <w:r w:rsidRPr="008E1AE3">
              <w:t>(previously $12,000)</w:t>
            </w:r>
          </w:p>
        </w:tc>
        <w:tc>
          <w:tcPr>
            <w:tcW w:w="0" w:type="dxa"/>
          </w:tcPr>
          <w:p w:rsidR="004C6507" w:rsidRPr="008E1AE3" w:rsidP="038C41FA" w14:paraId="384E5896" w14:textId="77777777">
            <w:r w:rsidRPr="008E1AE3">
              <w:t>1 February 2012</w:t>
            </w:r>
          </w:p>
        </w:tc>
      </w:tr>
    </w:tbl>
    <w:p w:rsidR="004C6507" w:rsidRPr="008E1AE3" w:rsidP="038C41FA" w14:paraId="5A115642" w14:textId="16AE4105">
      <w:pPr>
        <w:pStyle w:val="Heading2"/>
        <w:pageBreakBefore/>
      </w:pPr>
      <w:bookmarkStart w:id="425" w:name="_Toc2695063"/>
      <w:bookmarkStart w:id="426" w:name="_Toc4144954"/>
      <w:bookmarkStart w:id="427" w:name="_Toc4483543"/>
      <w:bookmarkStart w:id="428" w:name="_Toc4485227"/>
      <w:bookmarkStart w:id="429" w:name="_Toc15488366"/>
      <w:r w:rsidRPr="008E1AE3">
        <w:t>Appendix 2 - Glossary</w:t>
      </w:r>
      <w:bookmarkEnd w:id="425"/>
      <w:bookmarkEnd w:id="426"/>
      <w:bookmarkEnd w:id="427"/>
      <w:bookmarkEnd w:id="428"/>
      <w:bookmarkEnd w:id="429"/>
    </w:p>
    <w:tbl>
      <w:tblPr>
        <w:tblStyle w:val="Style4"/>
        <w:tblCaption w:val="Standard terms and definitions"/>
        <w:tblDescription w:val="Table with one row header and two columns"/>
        <w:tblW w:w="9781" w:type="dxa"/>
        <w:tblLook w:val="04A0"/>
      </w:tblPr>
      <w:tblGrid>
        <w:gridCol w:w="2125"/>
        <w:gridCol w:w="7656"/>
      </w:tblGrid>
      <w:tr w14:paraId="35D44C39" w14:textId="77777777" w:rsidTr="00DC7551">
        <w:tblPrEx>
          <w:tblW w:w="9781" w:type="dxa"/>
          <w:tblLook w:val="04A0"/>
        </w:tblPrEx>
        <w:trPr>
          <w:tblHeader/>
        </w:trPr>
        <w:tc>
          <w:tcPr>
            <w:tcW w:w="2125" w:type="dxa"/>
          </w:tcPr>
          <w:p w:rsidR="004C6507" w:rsidRPr="008E1AE3" w:rsidP="038C41FA" w14:paraId="6627191C" w14:textId="77777777">
            <w:r w:rsidRPr="008E1AE3">
              <w:t>Standard terms</w:t>
            </w:r>
          </w:p>
        </w:tc>
        <w:tc>
          <w:tcPr>
            <w:tcW w:w="7656" w:type="dxa"/>
          </w:tcPr>
          <w:p w:rsidR="004C6507" w:rsidRPr="008E1AE3" w:rsidP="038C41FA" w14:paraId="04FB4009" w14:textId="77777777">
            <w:r w:rsidRPr="008E1AE3">
              <w:t>Definitions</w:t>
            </w:r>
          </w:p>
        </w:tc>
      </w:tr>
      <w:tr w14:paraId="0C276356" w14:textId="77777777" w:rsidTr="00DC7551">
        <w:tblPrEx>
          <w:tblW w:w="9781" w:type="dxa"/>
          <w:tblLook w:val="04A0"/>
        </w:tblPrEx>
        <w:tc>
          <w:tcPr>
            <w:tcW w:w="2125" w:type="dxa"/>
          </w:tcPr>
          <w:p w:rsidR="00863260" w:rsidP="007F19D0" w14:paraId="1B70EAE9" w14:textId="591DA5F5">
            <w:r w:rsidRPr="000C65F7">
              <w:t>Certificate of insurance</w:t>
            </w:r>
          </w:p>
        </w:tc>
        <w:tc>
          <w:tcPr>
            <w:tcW w:w="7656" w:type="dxa"/>
          </w:tcPr>
          <w:p w:rsidR="00863260" w:rsidRPr="008A28A1" w:rsidP="007F19D0" w14:paraId="55F0A644" w14:textId="4A57B8F2">
            <w:pPr>
              <w:rPr>
                <w:noProof/>
              </w:rPr>
            </w:pPr>
            <w:r w:rsidRPr="006A6478">
              <w:rPr>
                <w:noProof/>
              </w:rPr>
              <w:t>A certificate evidencing a contract of insurance has been entered into for residential building work on a dwelling</w:t>
            </w:r>
          </w:p>
        </w:tc>
      </w:tr>
      <w:tr w14:paraId="4F1DDBE7" w14:textId="77777777" w:rsidTr="00DC7551">
        <w:tblPrEx>
          <w:tblW w:w="9781" w:type="dxa"/>
          <w:tblLook w:val="04A0"/>
        </w:tblPrEx>
        <w:tc>
          <w:tcPr>
            <w:tcW w:w="2125" w:type="dxa"/>
          </w:tcPr>
          <w:p w:rsidR="00FF76FA" w:rsidRPr="008E1AE3" w:rsidP="00497D1E" w14:paraId="25FCE531" w14:textId="77777777">
            <w:r w:rsidRPr="008E1AE3">
              <w:rPr>
                <w:noProof/>
              </w:rPr>
              <w:t>CIMS</w:t>
            </w:r>
          </w:p>
        </w:tc>
        <w:tc>
          <w:tcPr>
            <w:tcW w:w="7656" w:type="dxa"/>
          </w:tcPr>
          <w:p w:rsidR="00FF76FA" w:rsidRPr="008E1AE3" w:rsidP="00497D1E" w14:paraId="71F13F7F" w14:textId="77777777">
            <w:r w:rsidRPr="008E1AE3">
              <w:t xml:space="preserve">Claims and Insurance Management System used by icare </w:t>
            </w:r>
            <w:r>
              <w:t>HBCF</w:t>
            </w:r>
          </w:p>
        </w:tc>
      </w:tr>
      <w:tr w14:paraId="219375D2" w14:textId="77777777" w:rsidTr="00DC7551">
        <w:tblPrEx>
          <w:tblW w:w="9781" w:type="dxa"/>
          <w:tblLook w:val="04A0"/>
        </w:tblPrEx>
        <w:tc>
          <w:tcPr>
            <w:tcW w:w="2125" w:type="dxa"/>
          </w:tcPr>
          <w:p w:rsidR="004C6507" w:rsidRPr="008E1AE3" w:rsidP="000C6C26" w14:paraId="2E81EC0D" w14:textId="36012DBD">
            <w:pPr>
              <w:rPr>
                <w:noProof/>
              </w:rPr>
            </w:pPr>
            <w:r>
              <w:rPr>
                <w:noProof/>
              </w:rPr>
              <w:t>Construction type</w:t>
            </w:r>
            <w:r w:rsidRPr="008E1AE3">
              <w:rPr>
                <w:noProof/>
              </w:rPr>
              <w:t xml:space="preserve"> - alterations</w:t>
            </w:r>
          </w:p>
        </w:tc>
        <w:tc>
          <w:tcPr>
            <w:tcW w:w="7656" w:type="dxa"/>
          </w:tcPr>
          <w:p w:rsidR="004C40F1" w:rsidP="038C41FA" w14:paraId="4749F285" w14:textId="77777777">
            <w:r w:rsidRPr="008E1AE3">
              <w:t xml:space="preserve">Alterations relate to </w:t>
            </w:r>
            <w:r>
              <w:t xml:space="preserve">residential building </w:t>
            </w:r>
            <w:r w:rsidRPr="008E1AE3">
              <w:t xml:space="preserve">works which are mostly structural.  </w:t>
            </w:r>
          </w:p>
          <w:p w:rsidR="004C6507" w:rsidRPr="008E1AE3" w:rsidP="038C41FA" w14:paraId="4949717C" w14:textId="6EBF45CA">
            <w:r>
              <w:t>In</w:t>
            </w:r>
            <w:r w:rsidRPr="008E1AE3" w:rsidR="004C40F1">
              <w:t xml:space="preserve"> this report, </w:t>
            </w:r>
            <w:r w:rsidR="004C40F1">
              <w:t>b</w:t>
            </w:r>
            <w:r w:rsidRPr="008E1AE3">
              <w:t xml:space="preserve">oth alterations and renovations </w:t>
            </w:r>
            <w:r w:rsidR="001D0603">
              <w:t>construction type</w:t>
            </w:r>
            <w:r w:rsidRPr="008E1AE3">
              <w:t>s include works on single or multiple dwellings or duplexes /triplexes.</w:t>
            </w:r>
          </w:p>
        </w:tc>
      </w:tr>
      <w:tr w14:paraId="6BCB9E9B" w14:textId="77777777" w:rsidTr="00DC7551">
        <w:tblPrEx>
          <w:tblW w:w="9781" w:type="dxa"/>
          <w:tblLook w:val="04A0"/>
        </w:tblPrEx>
        <w:tc>
          <w:tcPr>
            <w:tcW w:w="2125" w:type="dxa"/>
          </w:tcPr>
          <w:p w:rsidR="004C6507" w:rsidRPr="008E1AE3" w:rsidP="000C6C26" w14:paraId="311BAF9D" w14:textId="3AE544C1">
            <w:pPr>
              <w:rPr>
                <w:noProof/>
              </w:rPr>
            </w:pPr>
            <w:r>
              <w:rPr>
                <w:noProof/>
              </w:rPr>
              <w:t>Construction type</w:t>
            </w:r>
            <w:r w:rsidRPr="008E1AE3">
              <w:rPr>
                <w:noProof/>
              </w:rPr>
              <w:t xml:space="preserve"> - renovations</w:t>
            </w:r>
          </w:p>
        </w:tc>
        <w:tc>
          <w:tcPr>
            <w:tcW w:w="7656" w:type="dxa"/>
          </w:tcPr>
          <w:p w:rsidR="004C40F1" w:rsidP="038C41FA" w14:paraId="784E74C1" w14:textId="77777777">
            <w:r w:rsidRPr="008E1AE3">
              <w:t xml:space="preserve">Renovations relate to </w:t>
            </w:r>
            <w:r>
              <w:t xml:space="preserve">residential building </w:t>
            </w:r>
            <w:r w:rsidRPr="008E1AE3">
              <w:t xml:space="preserve">works which are mostly non-structural. </w:t>
            </w:r>
          </w:p>
          <w:p w:rsidR="004C6507" w:rsidRPr="008E1AE3" w:rsidP="038C41FA" w14:paraId="0E2CE7F7" w14:textId="6748B48A">
            <w:r>
              <w:t xml:space="preserve">In </w:t>
            </w:r>
            <w:r w:rsidRPr="008E1AE3" w:rsidR="004C40F1">
              <w:t>this report,</w:t>
            </w:r>
            <w:r w:rsidR="004C40F1">
              <w:t xml:space="preserve"> b</w:t>
            </w:r>
            <w:r w:rsidRPr="008E1AE3">
              <w:t xml:space="preserve">oth alterations and renovations </w:t>
            </w:r>
            <w:r w:rsidR="001D0603">
              <w:t>construction type</w:t>
            </w:r>
            <w:r w:rsidRPr="008E1AE3">
              <w:t>s include works on single or multiple dwellings or duplexes /triplexes.</w:t>
            </w:r>
          </w:p>
        </w:tc>
      </w:tr>
      <w:tr w14:paraId="6B2081E7" w14:textId="77777777" w:rsidTr="00DC7551">
        <w:tblPrEx>
          <w:tblW w:w="9781" w:type="dxa"/>
          <w:tblLook w:val="04A0"/>
        </w:tblPrEx>
        <w:tc>
          <w:tcPr>
            <w:tcW w:w="2125" w:type="dxa"/>
          </w:tcPr>
          <w:p w:rsidR="00FF76FA" w:rsidRPr="008E1AE3" w:rsidP="00497D1E" w14:paraId="6DA9FFE8" w14:textId="77777777">
            <w:pPr>
              <w:rPr>
                <w:noProof/>
              </w:rPr>
            </w:pPr>
            <w:r w:rsidRPr="000C65F7">
              <w:t>Contract of insurance</w:t>
            </w:r>
          </w:p>
        </w:tc>
        <w:tc>
          <w:tcPr>
            <w:tcW w:w="7656" w:type="dxa"/>
          </w:tcPr>
          <w:p w:rsidR="00FF76FA" w:rsidRPr="0070161F" w:rsidP="00497D1E" w14:paraId="2DCB4B9D" w14:textId="77777777">
            <w:pPr>
              <w:rPr>
                <w:noProof/>
              </w:rPr>
            </w:pPr>
            <w:r w:rsidRPr="000C65F7">
              <w:rPr>
                <w:noProof/>
              </w:rPr>
              <w:t xml:space="preserve">A contract of insurance under Part 6 of the </w:t>
            </w:r>
            <w:r w:rsidRPr="0070161F">
              <w:rPr>
                <w:i/>
                <w:noProof/>
              </w:rPr>
              <w:t>Home Building Act 1989</w:t>
            </w:r>
            <w:r w:rsidRPr="000C65F7">
              <w:rPr>
                <w:noProof/>
              </w:rPr>
              <w:t xml:space="preserve">. Section 104B </w:t>
            </w:r>
            <w:r>
              <w:rPr>
                <w:noProof/>
              </w:rPr>
              <w:t xml:space="preserve">provides </w:t>
            </w:r>
            <w:r w:rsidRPr="000C65F7">
              <w:rPr>
                <w:noProof/>
              </w:rPr>
              <w:t>that the requirement to obtain insurance may be met by obtaining coverage through an alternative indemnity product (AIP), however no AIP providers were part of the HBC scheme during the period to which this report relates.</w:t>
            </w:r>
          </w:p>
        </w:tc>
      </w:tr>
      <w:tr w14:paraId="732E3F67" w14:textId="77777777" w:rsidTr="00DC7551">
        <w:tblPrEx>
          <w:tblW w:w="9781" w:type="dxa"/>
          <w:tblLook w:val="04A0"/>
        </w:tblPrEx>
        <w:tc>
          <w:tcPr>
            <w:tcW w:w="2125" w:type="dxa"/>
          </w:tcPr>
          <w:p w:rsidR="0070161F" w:rsidRPr="008E1AE3" w:rsidP="007F19D0" w14:paraId="63E72049" w14:textId="77777777">
            <w:bookmarkStart w:id="430" w:name="_Hlk5953480"/>
            <w:r w:rsidRPr="008E1AE3">
              <w:rPr>
                <w:noProof/>
              </w:rPr>
              <w:t xml:space="preserve">Eligibility </w:t>
            </w:r>
          </w:p>
        </w:tc>
        <w:tc>
          <w:tcPr>
            <w:tcW w:w="7656" w:type="dxa"/>
          </w:tcPr>
          <w:p w:rsidR="0070161F" w:rsidRPr="008E1AE3" w:rsidP="007F19D0" w14:paraId="34CE8E1A" w14:textId="7F102F3B">
            <w:r w:rsidRPr="008066F4">
              <w:t xml:space="preserve">‘Eligibility’ is the term used to describe the approval by </w:t>
            </w:r>
            <w:r>
              <w:t xml:space="preserve">icare HBCF </w:t>
            </w:r>
            <w:r w:rsidRPr="008066F4">
              <w:t xml:space="preserve">to enable a builder </w:t>
            </w:r>
            <w:r w:rsidRPr="008E1AE3">
              <w:t xml:space="preserve">to apply for a </w:t>
            </w:r>
            <w:r>
              <w:t xml:space="preserve">HBC </w:t>
            </w:r>
            <w:r w:rsidRPr="008E1AE3">
              <w:t xml:space="preserve">certificate of insurance for </w:t>
            </w:r>
            <w:r>
              <w:t>residential building works in NSW</w:t>
            </w:r>
            <w:r w:rsidRPr="008E1AE3">
              <w:t>, and the conditions under which the certificate of insurance may be granted</w:t>
            </w:r>
          </w:p>
        </w:tc>
      </w:tr>
      <w:tr w14:paraId="52601959" w14:textId="77777777" w:rsidTr="00DC7551">
        <w:tblPrEx>
          <w:tblW w:w="9781" w:type="dxa"/>
          <w:tblLook w:val="04A0"/>
        </w:tblPrEx>
        <w:tc>
          <w:tcPr>
            <w:tcW w:w="2125" w:type="dxa"/>
          </w:tcPr>
          <w:p w:rsidR="0070161F" w:rsidP="0070161F" w14:paraId="45E910B6" w14:textId="14A10AB1">
            <w:bookmarkStart w:id="431" w:name="_Hlk6473798"/>
            <w:bookmarkEnd w:id="430"/>
            <w:r>
              <w:t>Eligibility u</w:t>
            </w:r>
            <w:r w:rsidRPr="008E1AE3">
              <w:t>tilisation</w:t>
            </w:r>
            <w:r>
              <w:t xml:space="preserve"> </w:t>
            </w:r>
          </w:p>
        </w:tc>
        <w:tc>
          <w:tcPr>
            <w:tcW w:w="7656" w:type="dxa"/>
          </w:tcPr>
          <w:p w:rsidR="005F46C2" w:rsidP="00C53C41" w14:paraId="5A8F3278" w14:textId="17BC7BA8">
            <w:r>
              <w:t>In</w:t>
            </w:r>
            <w:r w:rsidRPr="008E1AE3" w:rsidR="0070161F">
              <w:t xml:space="preserve"> this report, </w:t>
            </w:r>
            <w:r w:rsidRPr="00FD4BA6" w:rsidR="00FD4BA6">
              <w:t xml:space="preserve">eligibility </w:t>
            </w:r>
            <w:r w:rsidRPr="008E1AE3" w:rsidR="0070161F">
              <w:t xml:space="preserve">utilisation </w:t>
            </w:r>
            <w:r w:rsidR="0070161F">
              <w:t>refers</w:t>
            </w:r>
            <w:r w:rsidRPr="008E1AE3" w:rsidR="0070161F">
              <w:t xml:space="preserve"> to </w:t>
            </w:r>
            <w:r w:rsidR="00FD4BA6">
              <w:t xml:space="preserve">the percentage of </w:t>
            </w:r>
            <w:r w:rsidRPr="008E1AE3" w:rsidR="0070161F">
              <w:t>builders</w:t>
            </w:r>
            <w:r>
              <w:t>’</w:t>
            </w:r>
            <w:r w:rsidRPr="008E1AE3" w:rsidR="0070161F">
              <w:t xml:space="preserve"> eligibility </w:t>
            </w:r>
            <w:r>
              <w:t xml:space="preserve">open job </w:t>
            </w:r>
            <w:r w:rsidR="0070161F">
              <w:t xml:space="preserve">limit </w:t>
            </w:r>
            <w:r w:rsidR="00FD4BA6">
              <w:t>value</w:t>
            </w:r>
            <w:r w:rsidR="00B175B4">
              <w:t>s</w:t>
            </w:r>
            <w:r w:rsidR="00FD4BA6">
              <w:t xml:space="preserve"> </w:t>
            </w:r>
            <w:r w:rsidR="00B175B4">
              <w:t xml:space="preserve">that </w:t>
            </w:r>
            <w:r w:rsidR="0070161F">
              <w:t>has been</w:t>
            </w:r>
            <w:r w:rsidRPr="008E1AE3" w:rsidR="0070161F">
              <w:t xml:space="preserve"> u</w:t>
            </w:r>
            <w:r w:rsidR="0070161F">
              <w:t>tilised</w:t>
            </w:r>
            <w:r w:rsidR="00B175B4">
              <w:t xml:space="preserve"> as at the reporting date</w:t>
            </w:r>
            <w:r w:rsidRPr="008E1AE3" w:rsidR="00B175B4">
              <w:t>.</w:t>
            </w:r>
            <w:r>
              <w:t xml:space="preserve"> It </w:t>
            </w:r>
            <w:r w:rsidRPr="008E1AE3" w:rsidR="0070161F">
              <w:t xml:space="preserve">is calculated as the </w:t>
            </w:r>
            <w:r w:rsidR="0070161F">
              <w:t>proportion of</w:t>
            </w:r>
            <w:r>
              <w:t>:</w:t>
            </w:r>
            <w:r w:rsidR="00667460">
              <w:t xml:space="preserve"> </w:t>
            </w:r>
          </w:p>
          <w:p w:rsidR="005F46C2" w:rsidP="00C23AC8" w14:paraId="11AD74FF" w14:textId="4A8BCCB5">
            <w:pPr>
              <w:pStyle w:val="ListParagraph"/>
              <w:numPr>
                <w:ilvl w:val="0"/>
                <w:numId w:val="20"/>
              </w:numPr>
            </w:pPr>
            <w:r>
              <w:t xml:space="preserve">total </w:t>
            </w:r>
            <w:r w:rsidR="00C23AC8">
              <w:t>value</w:t>
            </w:r>
            <w:r w:rsidRPr="008E1AE3">
              <w:t xml:space="preserve"> </w:t>
            </w:r>
            <w:r>
              <w:t xml:space="preserve">of </w:t>
            </w:r>
            <w:r w:rsidRPr="008E1AE3" w:rsidR="0070161F">
              <w:t>contract</w:t>
            </w:r>
            <w:r w:rsidR="00667460">
              <w:t>s</w:t>
            </w:r>
            <w:r w:rsidRPr="008E1AE3" w:rsidR="0070161F">
              <w:t xml:space="preserve"> </w:t>
            </w:r>
            <w:r w:rsidR="00667460">
              <w:t xml:space="preserve">of insurance </w:t>
            </w:r>
            <w:r>
              <w:t xml:space="preserve">entered into </w:t>
            </w:r>
            <w:r>
              <w:t xml:space="preserve">by </w:t>
            </w:r>
            <w:r>
              <w:t>eligible builders</w:t>
            </w:r>
            <w:r>
              <w:t>,</w:t>
            </w:r>
            <w:r>
              <w:t xml:space="preserve"> </w:t>
            </w:r>
            <w:r w:rsidRPr="008E1AE3" w:rsidR="0070161F">
              <w:t xml:space="preserve">divided by </w:t>
            </w:r>
          </w:p>
          <w:p w:rsidR="0070161F" w:rsidP="00C23AC8" w14:paraId="1932F14F" w14:textId="7FC4FB76">
            <w:pPr>
              <w:pStyle w:val="ListParagraph"/>
              <w:numPr>
                <w:ilvl w:val="0"/>
                <w:numId w:val="20"/>
              </w:numPr>
            </w:pPr>
            <w:r>
              <w:t xml:space="preserve">total </w:t>
            </w:r>
            <w:r w:rsidR="00A652A5">
              <w:t xml:space="preserve">value of </w:t>
            </w:r>
            <w:r w:rsidRPr="008E1AE3">
              <w:t xml:space="preserve">approved </w:t>
            </w:r>
            <w:r>
              <w:t xml:space="preserve">eligibility </w:t>
            </w:r>
            <w:r w:rsidR="00667460">
              <w:t xml:space="preserve">open </w:t>
            </w:r>
            <w:r w:rsidRPr="008E1AE3">
              <w:t xml:space="preserve">job </w:t>
            </w:r>
            <w:r w:rsidR="005F46C2">
              <w:t>limits</w:t>
            </w:r>
          </w:p>
        </w:tc>
      </w:tr>
      <w:tr w14:paraId="7DE0C3BB" w14:textId="34FCA5B1" w:rsidTr="00DC7551">
        <w:tblPrEx>
          <w:tblW w:w="9781" w:type="dxa"/>
          <w:tblLook w:val="04A0"/>
        </w:tblPrEx>
        <w:tc>
          <w:tcPr>
            <w:tcW w:w="2125" w:type="dxa"/>
          </w:tcPr>
          <w:p w:rsidR="0070161F" w:rsidRPr="008E1AE3" w:rsidP="0070161F" w14:paraId="24AFC7A1" w14:textId="34FB9405">
            <w:bookmarkEnd w:id="431"/>
            <w:r w:rsidRPr="008E1AE3">
              <w:t>GST</w:t>
            </w:r>
          </w:p>
        </w:tc>
        <w:tc>
          <w:tcPr>
            <w:tcW w:w="7656" w:type="dxa"/>
          </w:tcPr>
          <w:p w:rsidR="0070161F" w:rsidRPr="008E1AE3" w:rsidP="0070161F" w14:paraId="068A2CAE" w14:textId="326A599D">
            <w:r w:rsidRPr="008E1AE3">
              <w:rPr>
                <w:noProof/>
              </w:rPr>
              <w:t>Goods and Services Tax</w:t>
            </w:r>
          </w:p>
        </w:tc>
      </w:tr>
      <w:tr w14:paraId="35878D99" w14:textId="77777777" w:rsidTr="00DC7551">
        <w:tblPrEx>
          <w:tblW w:w="9781" w:type="dxa"/>
          <w:tblLook w:val="04A0"/>
        </w:tblPrEx>
        <w:tc>
          <w:tcPr>
            <w:tcW w:w="2125" w:type="dxa"/>
          </w:tcPr>
          <w:p w:rsidR="0070161F" w:rsidRPr="008E1AE3" w:rsidP="0070161F" w14:paraId="5DF3D78D" w14:textId="77777777">
            <w:r w:rsidRPr="008E1AE3">
              <w:t>HBC</w:t>
            </w:r>
          </w:p>
        </w:tc>
        <w:tc>
          <w:tcPr>
            <w:tcW w:w="7656" w:type="dxa"/>
          </w:tcPr>
          <w:p w:rsidR="0070161F" w:rsidRPr="008E1AE3" w:rsidP="0070161F" w14:paraId="6EA11AA1" w14:textId="77777777">
            <w:r w:rsidRPr="008E1AE3">
              <w:rPr>
                <w:noProof/>
              </w:rPr>
              <w:t>Home Building Compensation</w:t>
            </w:r>
          </w:p>
        </w:tc>
      </w:tr>
      <w:tr w14:paraId="0E517D2A" w14:textId="77777777" w:rsidTr="00DC7551">
        <w:tblPrEx>
          <w:tblW w:w="9781" w:type="dxa"/>
          <w:tblLook w:val="04A0"/>
        </w:tblPrEx>
        <w:tc>
          <w:tcPr>
            <w:tcW w:w="2125" w:type="dxa"/>
          </w:tcPr>
          <w:p w:rsidR="0070161F" w:rsidRPr="008E1AE3" w:rsidP="0070161F" w14:paraId="2C4FEAD8" w14:textId="58B2BD4A">
            <w:r w:rsidRPr="008E1AE3">
              <w:rPr>
                <w:noProof/>
              </w:rPr>
              <w:t xml:space="preserve">icare </w:t>
            </w:r>
            <w:r>
              <w:rPr>
                <w:noProof/>
              </w:rPr>
              <w:t>HBCF</w:t>
            </w:r>
          </w:p>
        </w:tc>
        <w:tc>
          <w:tcPr>
            <w:tcW w:w="7656" w:type="dxa"/>
          </w:tcPr>
          <w:p w:rsidR="0070161F" w:rsidRPr="008E1AE3" w:rsidP="0070161F" w14:paraId="10F12628" w14:textId="5C14AE07">
            <w:r w:rsidRPr="008E1AE3">
              <w:rPr>
                <w:noProof/>
              </w:rPr>
              <w:t xml:space="preserve">The NSW Self Insurance Corporation, trading as icare </w:t>
            </w:r>
            <w:r>
              <w:rPr>
                <w:noProof/>
              </w:rPr>
              <w:t>HBCF</w:t>
            </w:r>
            <w:r w:rsidRPr="008E1AE3">
              <w:rPr>
                <w:noProof/>
              </w:rPr>
              <w:t>, is currently the sole NSW government provider of HBC insurance</w:t>
            </w:r>
          </w:p>
        </w:tc>
      </w:tr>
      <w:tr w14:paraId="6D208C72" w14:textId="77777777" w:rsidTr="00DC7551">
        <w:tblPrEx>
          <w:tblW w:w="9781" w:type="dxa"/>
          <w:tblLook w:val="04A0"/>
        </w:tblPrEx>
        <w:tc>
          <w:tcPr>
            <w:tcW w:w="2125" w:type="dxa"/>
          </w:tcPr>
          <w:p w:rsidR="00FF76FA" w:rsidRPr="008E1AE3" w:rsidP="00497D1E" w14:paraId="39F56503" w14:textId="77777777">
            <w:r w:rsidRPr="008E1AE3">
              <w:t>Licensed builder</w:t>
            </w:r>
          </w:p>
        </w:tc>
        <w:tc>
          <w:tcPr>
            <w:tcW w:w="7656" w:type="dxa"/>
          </w:tcPr>
          <w:p w:rsidR="00FF76FA" w:rsidRPr="008E1AE3" w:rsidP="00497D1E" w14:paraId="1630E727" w14:textId="77777777">
            <w:r w:rsidRPr="008E1AE3">
              <w:t xml:space="preserve">Any holder of a contractor licence under the </w:t>
            </w:r>
            <w:r w:rsidRPr="008E1AE3">
              <w:rPr>
                <w:i/>
                <w:iCs/>
              </w:rPr>
              <w:t>Home Building Act 1989</w:t>
            </w:r>
            <w:r w:rsidRPr="008E1AE3">
              <w:t>, including licences in building work categories, trade categories, and categories of specialist work</w:t>
            </w:r>
          </w:p>
        </w:tc>
      </w:tr>
      <w:tr w14:paraId="20014AF8" w14:textId="77777777" w:rsidTr="00DC7551">
        <w:tblPrEx>
          <w:tblW w:w="9781" w:type="dxa"/>
          <w:tblLook w:val="04A0"/>
        </w:tblPrEx>
        <w:tc>
          <w:tcPr>
            <w:tcW w:w="2125" w:type="dxa"/>
          </w:tcPr>
          <w:p w:rsidR="000A7185" w:rsidRPr="008E1AE3" w:rsidP="00497D1E" w14:paraId="5427D942" w14:textId="77777777">
            <w:r w:rsidRPr="008E1AE3">
              <w:t>NCAT</w:t>
            </w:r>
          </w:p>
        </w:tc>
        <w:tc>
          <w:tcPr>
            <w:tcW w:w="7656" w:type="dxa"/>
          </w:tcPr>
          <w:p w:rsidR="000A7185" w:rsidRPr="008E1AE3" w:rsidP="00497D1E" w14:paraId="17C6A553" w14:textId="77777777">
            <w:r w:rsidRPr="008E1AE3">
              <w:t>The NSW Civil and Administrative Tribunal (NCAT) is the one-stop-shop for specialist tribunal services in NSW.</w:t>
            </w:r>
          </w:p>
          <w:p w:rsidR="000A7185" w:rsidRPr="008E1AE3" w:rsidP="00497D1E" w14:paraId="3AC12DA8" w14:textId="77777777">
            <w:r w:rsidRPr="008E1AE3">
              <w:t>Matters previously heard in Consumer, Trader and Tenancy Tribunal (CTTT) are now heard in the Consumer and Commercial Division of the NSW Civil and Consumer Tribunal.</w:t>
            </w:r>
          </w:p>
        </w:tc>
      </w:tr>
      <w:tr w14:paraId="05DCF814" w14:textId="77777777" w:rsidTr="00DC7551">
        <w:tblPrEx>
          <w:tblW w:w="9781" w:type="dxa"/>
          <w:tblLook w:val="04A0"/>
        </w:tblPrEx>
        <w:tc>
          <w:tcPr>
            <w:tcW w:w="2125" w:type="dxa"/>
          </w:tcPr>
          <w:p w:rsidR="0070161F" w:rsidRPr="008E1AE3" w:rsidP="0070161F" w14:paraId="432AC0D8" w14:textId="4F98D62B">
            <w:pPr>
              <w:rPr>
                <w:noProof/>
              </w:rPr>
            </w:pPr>
            <w:r>
              <w:rPr>
                <w:noProof/>
              </w:rPr>
              <w:t>Notification of loss</w:t>
            </w:r>
          </w:p>
        </w:tc>
        <w:tc>
          <w:tcPr>
            <w:tcW w:w="7656" w:type="dxa"/>
          </w:tcPr>
          <w:p w:rsidR="0070161F" w:rsidRPr="00A652A5" w:rsidP="0070161F" w14:paraId="10C42E7E" w14:textId="45D1A8BB">
            <w:pPr>
              <w:rPr>
                <w:i/>
              </w:rPr>
            </w:pPr>
            <w:r w:rsidRPr="000C65F7">
              <w:t xml:space="preserve">The notification of an insurer that a loss has become apparent arising from work covered by a contract of insurance for the purposes of s.103BB of the </w:t>
            </w:r>
            <w:r w:rsidRPr="00A652A5">
              <w:rPr>
                <w:i/>
              </w:rPr>
              <w:t>Home Building Act 1989.</w:t>
            </w:r>
          </w:p>
          <w:p w:rsidR="0070161F" w:rsidRPr="008E1AE3" w:rsidP="0070161F" w14:paraId="4DCE7EA2" w14:textId="566CC88B">
            <w:r w:rsidRPr="0070161F">
              <w:t>Note that not all notifications of loss necessarily progress to become a lodged claim. Notifications of loss can be finalised with no claim lodgement, for example if a home owner succeeds in obtaining a remedy from their builder while they are still solvent.</w:t>
            </w:r>
            <w:r>
              <w:t xml:space="preserve"> </w:t>
            </w:r>
          </w:p>
        </w:tc>
      </w:tr>
      <w:tr w14:paraId="2C4CFBBC" w14:textId="77777777" w:rsidTr="00DC7551">
        <w:tblPrEx>
          <w:tblW w:w="9781" w:type="dxa"/>
          <w:tblLook w:val="04A0"/>
        </w:tblPrEx>
        <w:tc>
          <w:tcPr>
            <w:tcW w:w="2125" w:type="dxa"/>
          </w:tcPr>
          <w:p w:rsidR="0070161F" w:rsidRPr="008E1AE3" w:rsidP="0070161F" w14:paraId="6177881A" w14:textId="77777777">
            <w:r w:rsidRPr="008E1AE3">
              <w:rPr>
                <w:noProof/>
              </w:rPr>
              <w:t>Open job limit</w:t>
            </w:r>
          </w:p>
        </w:tc>
        <w:tc>
          <w:tcPr>
            <w:tcW w:w="7656" w:type="dxa"/>
          </w:tcPr>
          <w:p w:rsidR="0070161F" w:rsidRPr="008E1AE3" w:rsidP="0070161F" w14:paraId="41AD3166" w14:textId="425B3247">
            <w:r w:rsidRPr="008E1AE3">
              <w:t xml:space="preserve">The approved maximum number and value of jobs an individual licensed builder may have under construction at any point in time as a condition of eligibility granted by icare </w:t>
            </w:r>
            <w:r>
              <w:t>HBCF</w:t>
            </w:r>
            <w:r w:rsidRPr="008E1AE3">
              <w:t xml:space="preserve"> </w:t>
            </w:r>
          </w:p>
        </w:tc>
      </w:tr>
      <w:tr w14:paraId="4DF1531C" w14:textId="77777777" w:rsidTr="00DC7551">
        <w:tblPrEx>
          <w:tblW w:w="9781" w:type="dxa"/>
          <w:tblLook w:val="04A0"/>
        </w:tblPrEx>
        <w:tc>
          <w:tcPr>
            <w:tcW w:w="2125" w:type="dxa"/>
          </w:tcPr>
          <w:p w:rsidR="0070161F" w:rsidRPr="008E1AE3" w:rsidP="0070161F" w14:paraId="2062216F" w14:textId="77777777">
            <w:r w:rsidRPr="008E1AE3">
              <w:t>Other loss</w:t>
            </w:r>
          </w:p>
        </w:tc>
        <w:tc>
          <w:tcPr>
            <w:tcW w:w="7656" w:type="dxa"/>
          </w:tcPr>
          <w:p w:rsidR="0070161F" w:rsidRPr="008E1AE3" w:rsidP="0070161F" w14:paraId="6FA95366" w14:textId="04055417">
            <w:r w:rsidRPr="008E1AE3">
              <w:t xml:space="preserve">In respect of </w:t>
            </w:r>
            <w:r>
              <w:t xml:space="preserve">a claim for </w:t>
            </w:r>
            <w:r w:rsidRPr="008E1AE3">
              <w:t>loss or damage arising other than from a major defect or non-completion of the work</w:t>
            </w:r>
          </w:p>
        </w:tc>
      </w:tr>
      <w:tr w14:paraId="28F0D453" w14:textId="77777777" w:rsidTr="00DC7551">
        <w:tblPrEx>
          <w:tblW w:w="9781" w:type="dxa"/>
          <w:tblLook w:val="04A0"/>
        </w:tblPrEx>
        <w:tc>
          <w:tcPr>
            <w:tcW w:w="2125" w:type="dxa"/>
          </w:tcPr>
          <w:p w:rsidR="0070161F" w:rsidRPr="008E1AE3" w:rsidP="0070161F" w14:paraId="785C7C2D" w14:textId="77777777">
            <w:r w:rsidRPr="008E1AE3">
              <w:t>Premium rate</w:t>
            </w:r>
          </w:p>
        </w:tc>
        <w:tc>
          <w:tcPr>
            <w:tcW w:w="7656" w:type="dxa"/>
          </w:tcPr>
          <w:p w:rsidR="0070161F" w:rsidRPr="008E1AE3" w:rsidP="0070161F" w14:paraId="0F14B858" w14:textId="6DBB0449">
            <w:r w:rsidRPr="008E1AE3">
              <w:t>Premium excluding statutory GST</w:t>
            </w:r>
            <w:r w:rsidR="00F24445">
              <w:t>,</w:t>
            </w:r>
            <w:r w:rsidRPr="008E1AE3">
              <w:t xml:space="preserve"> </w:t>
            </w:r>
            <w:r w:rsidR="00503429">
              <w:t xml:space="preserve">stamp </w:t>
            </w:r>
            <w:r w:rsidRPr="008E1AE3">
              <w:t xml:space="preserve">duty </w:t>
            </w:r>
            <w:r w:rsidR="00F24445">
              <w:t xml:space="preserve">and </w:t>
            </w:r>
            <w:r w:rsidRPr="008E1AE3">
              <w:t xml:space="preserve">charges as a percentage of </w:t>
            </w:r>
            <w:r w:rsidR="00F24445">
              <w:t xml:space="preserve">building </w:t>
            </w:r>
            <w:r w:rsidRPr="008E1AE3">
              <w:t>contract value.</w:t>
            </w:r>
          </w:p>
        </w:tc>
      </w:tr>
      <w:tr w14:paraId="2168B92E" w14:textId="77777777" w:rsidTr="00DC7551">
        <w:tblPrEx>
          <w:tblW w:w="9781" w:type="dxa"/>
          <w:tblLook w:val="04A0"/>
        </w:tblPrEx>
        <w:tc>
          <w:tcPr>
            <w:tcW w:w="2125" w:type="dxa"/>
          </w:tcPr>
          <w:p w:rsidR="0070161F" w:rsidRPr="008E1AE3" w:rsidP="0070161F" w14:paraId="52DBFE3A" w14:textId="77777777">
            <w:r w:rsidRPr="008E1AE3">
              <w:rPr>
                <w:noProof/>
              </w:rPr>
              <w:t>Runoff insurers</w:t>
            </w:r>
          </w:p>
        </w:tc>
        <w:tc>
          <w:tcPr>
            <w:tcW w:w="7656" w:type="dxa"/>
          </w:tcPr>
          <w:p w:rsidR="0070161F" w:rsidRPr="008E1AE3" w:rsidP="0070161F" w14:paraId="5CB4DBFF" w14:textId="77777777">
            <w:r w:rsidRPr="008E1AE3">
              <w:rPr>
                <w:noProof/>
              </w:rPr>
              <w:t>Insurers that were approved by the Minister to write HBC insurance on or before 30 June 2010. While they all ceased writing business on or before 30 June 2010, runoff insurers continue to manage and settle claims on policies written up until that date.</w:t>
            </w:r>
          </w:p>
        </w:tc>
      </w:tr>
      <w:tr w14:paraId="4E9D1E88" w14:textId="77777777" w:rsidTr="00DC7551">
        <w:tblPrEx>
          <w:tblW w:w="9781" w:type="dxa"/>
          <w:tblLook w:val="04A0"/>
        </w:tblPrEx>
        <w:tc>
          <w:tcPr>
            <w:tcW w:w="2125" w:type="dxa"/>
          </w:tcPr>
          <w:p w:rsidR="0070161F" w:rsidRPr="008E1AE3" w:rsidP="0070161F" w14:paraId="4994D0A2" w14:textId="77777777">
            <w:r w:rsidRPr="008E1AE3">
              <w:t>SIRA</w:t>
            </w:r>
          </w:p>
        </w:tc>
        <w:tc>
          <w:tcPr>
            <w:tcW w:w="7656" w:type="dxa"/>
          </w:tcPr>
          <w:p w:rsidR="0070161F" w:rsidRPr="008E1AE3" w:rsidP="0070161F" w14:paraId="6D14B628" w14:textId="77777777">
            <w:r w:rsidRPr="008E1AE3">
              <w:rPr>
                <w:noProof/>
              </w:rPr>
              <w:t>State Insurance Regulatory Authority</w:t>
            </w:r>
          </w:p>
        </w:tc>
      </w:tr>
      <w:tr w14:paraId="457B215C" w14:textId="77777777" w:rsidTr="00DC7551">
        <w:tblPrEx>
          <w:tblW w:w="9781" w:type="dxa"/>
          <w:tblLook w:val="04A0"/>
        </w:tblPrEx>
        <w:tc>
          <w:tcPr>
            <w:tcW w:w="2125" w:type="dxa"/>
          </w:tcPr>
          <w:p w:rsidR="0070161F" w:rsidRPr="008E1AE3" w:rsidP="0070161F" w14:paraId="68EEE1A9" w14:textId="77777777">
            <w:r w:rsidRPr="008E1AE3">
              <w:t>Total Premium</w:t>
            </w:r>
          </w:p>
        </w:tc>
        <w:tc>
          <w:tcPr>
            <w:tcW w:w="7656" w:type="dxa"/>
          </w:tcPr>
          <w:p w:rsidR="0070161F" w:rsidRPr="008E1AE3" w:rsidP="0070161F" w14:paraId="2F54061C" w14:textId="258A7946">
            <w:r>
              <w:t>Total p</w:t>
            </w:r>
            <w:r w:rsidRPr="008E1AE3">
              <w:t>remium excluding statutory GST</w:t>
            </w:r>
            <w:r w:rsidR="00F24445">
              <w:t>,</w:t>
            </w:r>
            <w:r w:rsidRPr="008E1AE3">
              <w:t xml:space="preserve"> </w:t>
            </w:r>
            <w:r w:rsidR="00503429">
              <w:t xml:space="preserve">stamp </w:t>
            </w:r>
            <w:r w:rsidRPr="008E1AE3">
              <w:t xml:space="preserve">duty </w:t>
            </w:r>
            <w:r w:rsidR="00F24445">
              <w:t xml:space="preserve">and </w:t>
            </w:r>
            <w:r w:rsidRPr="008E1AE3">
              <w:t>charges. It is the premium amount retained by the insurer to pay claims and the insurer’s expenses.</w:t>
            </w:r>
          </w:p>
        </w:tc>
      </w:tr>
      <w:tr w14:paraId="208B0F9B" w14:textId="77777777" w:rsidTr="00DC7551">
        <w:tblPrEx>
          <w:tblW w:w="9781" w:type="dxa"/>
          <w:tblLook w:val="04A0"/>
        </w:tblPrEx>
        <w:tc>
          <w:tcPr>
            <w:tcW w:w="2125" w:type="dxa"/>
          </w:tcPr>
          <w:p w:rsidR="0070161F" w:rsidRPr="008E1AE3" w:rsidP="0070161F" w14:paraId="650D7936" w14:textId="6B147040">
            <w:r w:rsidRPr="008E1AE3">
              <w:rPr>
                <w:noProof/>
              </w:rPr>
              <w:t>Year/quarter payment approved</w:t>
            </w:r>
          </w:p>
        </w:tc>
        <w:tc>
          <w:tcPr>
            <w:tcW w:w="7656" w:type="dxa"/>
          </w:tcPr>
          <w:p w:rsidR="0070161F" w:rsidRPr="008E1AE3" w:rsidP="0070161F" w14:paraId="06B8C82A" w14:textId="6106B623">
            <w:pPr>
              <w:rPr>
                <w:noProof/>
              </w:rPr>
            </w:pPr>
            <w:r w:rsidRPr="008E1AE3">
              <w:rPr>
                <w:noProof/>
              </w:rPr>
              <w:t xml:space="preserve">The financial year/quarter the claim payments were approved by icare </w:t>
            </w:r>
            <w:r>
              <w:rPr>
                <w:noProof/>
              </w:rPr>
              <w:t>HBCF</w:t>
            </w:r>
            <w:r w:rsidRPr="008E1AE3">
              <w:rPr>
                <w:noProof/>
              </w:rPr>
              <w:t xml:space="preserve">. </w:t>
            </w:r>
          </w:p>
          <w:p w:rsidR="0070161F" w:rsidRPr="008E1AE3" w:rsidP="0070161F" w14:paraId="50EFF4B1" w14:textId="79E399C5">
            <w:pPr>
              <w:rPr>
                <w:noProof/>
              </w:rPr>
            </w:pPr>
            <w:r w:rsidRPr="008E1AE3">
              <w:rPr>
                <w:noProof/>
              </w:rPr>
              <w:t>For runoff insurers, financial year/quarter payment approved refers to the financial year the claim payments were made. The claim payments made during the financial year/quarter is determined by subtracting the cumulative payments as at end of the financial year/quarter from that of the preceding financial year/quarter.</w:t>
            </w:r>
          </w:p>
        </w:tc>
      </w:tr>
    </w:tbl>
    <w:p w:rsidR="009902AD" w:rsidRPr="008E1AE3" w:rsidP="009902AD" w14:paraId="2A0C85FB" w14:textId="77777777">
      <w:pPr>
        <w:rPr>
          <w:rFonts w:ascii="Clarendon Lt BT" w:hAnsi="Clarendon Lt BT" w:eastAsiaTheme="majorEastAsia" w:cstheme="majorBidi"/>
          <w:color w:val="000000" w:themeColor="text1"/>
          <w:sz w:val="32"/>
          <w:szCs w:val="26"/>
        </w:rPr>
      </w:pPr>
      <w:bookmarkStart w:id="432" w:name="_Toc2695064"/>
      <w:bookmarkStart w:id="433" w:name="_Toc4144955"/>
      <w:r w:rsidRPr="008E1AE3">
        <w:br w:type="page"/>
      </w:r>
    </w:p>
    <w:p w:rsidR="004C6507" w:rsidRPr="008E1AE3" w:rsidP="038C41FA" w14:paraId="5C5ECCC1" w14:textId="3CD3F28B">
      <w:pPr>
        <w:pStyle w:val="Heading2"/>
      </w:pPr>
      <w:bookmarkStart w:id="434" w:name="_Toc4483544"/>
      <w:bookmarkStart w:id="435" w:name="_Toc4485228"/>
      <w:bookmarkStart w:id="436" w:name="_Toc15488367"/>
      <w:bookmarkEnd w:id="424"/>
      <w:r w:rsidRPr="008E1AE3">
        <w:t>Appendix 3 - Data quality statement</w:t>
      </w:r>
      <w:bookmarkEnd w:id="432"/>
      <w:bookmarkEnd w:id="433"/>
      <w:bookmarkEnd w:id="434"/>
      <w:bookmarkEnd w:id="435"/>
      <w:bookmarkEnd w:id="436"/>
    </w:p>
    <w:p w:rsidR="004C6507" w:rsidRPr="008E1AE3" w:rsidP="004C6507" w14:paraId="3BE1EED7" w14:textId="148F2E0C">
      <w:pPr>
        <w:rPr>
          <w:rFonts w:ascii="Clarendon Lt BT" w:hAnsi="Clarendon Lt BT"/>
          <w:sz w:val="32"/>
          <w:szCs w:val="32"/>
        </w:rPr>
      </w:pPr>
      <w:r w:rsidRPr="008E1AE3">
        <w:rPr>
          <w:rFonts w:ascii="Clarendon Lt BT" w:hAnsi="Clarendon Lt BT"/>
          <w:sz w:val="32"/>
          <w:szCs w:val="32"/>
        </w:rPr>
        <w:t>June 2018 home building compensation report</w:t>
      </w:r>
    </w:p>
    <w:p w:rsidR="004C6507" w:rsidRPr="008E1AE3" w:rsidP="038C41FA" w14:paraId="65948911" w14:textId="77777777">
      <w:r w:rsidRPr="008E1AE3">
        <w:t xml:space="preserve">Custodian of the dataset or data source: State Insurance Regulatory Authority (SIRA). </w:t>
      </w:r>
    </w:p>
    <w:p w:rsidR="004C6507" w:rsidRPr="008E1AE3" w:rsidP="038C41FA" w14:paraId="0E5B3EA6" w14:textId="77777777">
      <w:r w:rsidRPr="008E1AE3">
        <w:rPr>
          <w:b/>
          <w:bCs/>
          <w:color w:val="007A33"/>
          <w:sz w:val="28"/>
          <w:szCs w:val="28"/>
        </w:rPr>
        <w:t>Description</w:t>
      </w:r>
    </w:p>
    <w:p w:rsidR="004C6507" w:rsidRPr="008E1AE3" w:rsidP="038C41FA" w14:paraId="5D7F283D" w14:textId="77777777">
      <w:r w:rsidRPr="008E1AE3">
        <w:t xml:space="preserve">The home building compensation data provides key statistics on home building compensation in NSW. </w:t>
      </w:r>
    </w:p>
    <w:p w:rsidR="004C6507" w:rsidRPr="008E1AE3" w:rsidP="004C6507" w14:paraId="7237A65E" w14:textId="77777777">
      <w:pPr>
        <w:rPr>
          <w:noProof/>
        </w:rPr>
      </w:pPr>
      <w:r w:rsidRPr="008E1AE3">
        <w:rPr>
          <w:noProof/>
        </w:rPr>
        <w:t>The current scheme began with policies issued since 1 July 2010. SIRA has been receiving HBC data relating to the current scheme on a monthly basis since the March 2018 quarter. Previously SIRA received this data on a quarterly basis. Eligibility data included in this report up to the March 2018 quarter uses historic snapshots of data previously provided to SIRA.</w:t>
      </w:r>
    </w:p>
    <w:p w:rsidR="004C6507" w:rsidRPr="008E1AE3" w:rsidP="004C6507" w14:paraId="5BF647CD" w14:textId="77777777">
      <w:pPr>
        <w:rPr>
          <w:noProof/>
        </w:rPr>
      </w:pPr>
      <w:r w:rsidRPr="008E1AE3">
        <w:rPr>
          <w:noProof/>
        </w:rPr>
        <w:t xml:space="preserve">SIRA continues to receive claims information for policies issued by runoff insurers prior to July 2010 on a quarterly basis. This information covers claims development since 1 July 2002. </w:t>
      </w:r>
    </w:p>
    <w:p w:rsidR="004C6507" w:rsidRPr="008E1AE3" w:rsidP="004C6507" w14:paraId="122D73CB" w14:textId="77777777">
      <w:pPr>
        <w:rPr>
          <w:noProof/>
        </w:rPr>
      </w:pPr>
      <w:r w:rsidRPr="008E1AE3">
        <w:rPr>
          <w:b/>
          <w:bCs/>
          <w:color w:val="007A33"/>
          <w:sz w:val="28"/>
          <w:szCs w:val="28"/>
        </w:rPr>
        <w:t>Data quality rating</w:t>
      </w:r>
    </w:p>
    <w:p w:rsidR="004C6507" w:rsidRPr="008E1AE3" w:rsidP="00EE2F64" w14:paraId="74BFF0EF" w14:textId="77777777">
      <w:pPr>
        <w:spacing w:before="200"/>
        <w:rPr>
          <w:b/>
          <w:bCs/>
          <w:sz w:val="24"/>
          <w:szCs w:val="24"/>
        </w:rPr>
      </w:pPr>
      <w:r w:rsidRPr="008E1AE3">
        <w:rPr>
          <w:b/>
          <w:bCs/>
          <w:sz w:val="24"/>
          <w:szCs w:val="24"/>
        </w:rPr>
        <w:t>3 stars for:</w:t>
      </w:r>
    </w:p>
    <w:p w:rsidR="004C6507" w:rsidRPr="008E1AE3" w:rsidP="038C41FA" w14:paraId="028AF7E4" w14:textId="77777777">
      <w:pPr>
        <w:pStyle w:val="ListBullet"/>
      </w:pPr>
      <w:r w:rsidRPr="008E1AE3">
        <w:t>institutional environment</w:t>
      </w:r>
    </w:p>
    <w:p w:rsidR="004C6507" w:rsidRPr="008E1AE3" w:rsidP="038C41FA" w14:paraId="28548B12" w14:textId="77777777">
      <w:pPr>
        <w:pStyle w:val="ListBullet"/>
      </w:pPr>
      <w:r w:rsidRPr="008E1AE3">
        <w:t>accuracy</w:t>
      </w:r>
    </w:p>
    <w:p w:rsidR="004C6507" w:rsidRPr="008E1AE3" w:rsidP="038C41FA" w14:paraId="4E67EF95" w14:textId="77777777">
      <w:pPr>
        <w:pStyle w:val="ListBullet"/>
      </w:pPr>
      <w:r w:rsidRPr="008E1AE3">
        <w:t>coherence.</w:t>
      </w:r>
    </w:p>
    <w:p w:rsidR="004C6507" w:rsidRPr="008E1AE3" w14:paraId="045F00E6" w14:textId="77777777">
      <w:pPr>
        <w:pStyle w:val="ListBullet"/>
        <w:numPr>
          <w:ilvl w:val="0"/>
          <w:numId w:val="0"/>
        </w:numPr>
      </w:pPr>
      <w:r w:rsidRPr="008E1AE3">
        <w:rPr>
          <w:b/>
          <w:bCs/>
          <w:color w:val="007A33"/>
          <w:sz w:val="28"/>
          <w:szCs w:val="28"/>
        </w:rPr>
        <w:t>Data quality levels by dimension</w:t>
      </w:r>
    </w:p>
    <w:p w:rsidR="004C6507" w:rsidRPr="008E1AE3" w:rsidP="00EE2F64" w14:paraId="4BB21BE5" w14:textId="77777777">
      <w:pPr>
        <w:spacing w:before="200"/>
        <w:rPr>
          <w:b/>
          <w:bCs/>
          <w:sz w:val="24"/>
          <w:szCs w:val="24"/>
        </w:rPr>
      </w:pPr>
      <w:r w:rsidRPr="008E1AE3">
        <w:rPr>
          <w:b/>
          <w:bCs/>
          <w:sz w:val="24"/>
          <w:szCs w:val="24"/>
        </w:rPr>
        <w:t>Institutional environment: Medium – star</w:t>
      </w:r>
    </w:p>
    <w:p w:rsidR="004C6507" w:rsidRPr="008E1AE3" w14:paraId="0AE4FDB5" w14:textId="77777777">
      <w:pPr>
        <w:rPr>
          <w:b/>
          <w:bCs/>
        </w:rPr>
      </w:pPr>
      <w:r w:rsidRPr="008E1AE3">
        <w:rPr>
          <w:b/>
          <w:bCs/>
        </w:rPr>
        <w:t>Points awarded for:</w:t>
      </w:r>
    </w:p>
    <w:p w:rsidR="004C6507" w:rsidRPr="008E1AE3" w:rsidP="038C41FA" w14:paraId="0DE5B03F" w14:textId="77777777">
      <w:pPr>
        <w:pStyle w:val="ListBullet"/>
      </w:pPr>
      <w:r w:rsidRPr="008E1AE3">
        <w:t>Agency publishing this data is the recognised data custodian</w:t>
      </w:r>
    </w:p>
    <w:p w:rsidR="004C6507" w:rsidRPr="008E1AE3" w:rsidP="038C41FA" w14:paraId="3FA709CC" w14:textId="77777777">
      <w:pPr>
        <w:pStyle w:val="ListBullet"/>
      </w:pPr>
      <w:r w:rsidRPr="008E1AE3">
        <w:t>Organisation has an active Data Quality Framework in place</w:t>
      </w:r>
    </w:p>
    <w:p w:rsidR="004C6507" w:rsidRPr="008E1AE3" w:rsidP="038C41FA" w14:paraId="062FB7B2" w14:textId="5F2F6763">
      <w:pPr>
        <w:pStyle w:val="ListBullet"/>
      </w:pPr>
      <w:r w:rsidRPr="008E1AE3">
        <w:t xml:space="preserve">Data collection is mandated or required by Section 121C of the </w:t>
      </w:r>
      <w:r>
        <w:fldChar w:fldCharType="begin"/>
      </w:r>
      <w:r>
        <w:instrText xml:space="preserve"> HYPERLINK "https://www.legislation.nsw.gov.au/" \l "/view/act/1989/147" </w:instrText>
      </w:r>
      <w:r>
        <w:fldChar w:fldCharType="separate"/>
      </w:r>
      <w:r w:rsidRPr="008E1AE3">
        <w:rPr>
          <w:rStyle w:val="Hyperlink"/>
          <w:rFonts w:cstheme="minorBidi"/>
          <w:i/>
          <w:iCs/>
        </w:rPr>
        <w:t>Home Building Act 1989</w:t>
      </w:r>
      <w:r>
        <w:fldChar w:fldCharType="end"/>
      </w:r>
      <w:r w:rsidRPr="008E1AE3">
        <w:t xml:space="preserve"> </w:t>
      </w:r>
    </w:p>
    <w:p w:rsidR="004C6507" w:rsidRPr="008E1AE3" w:rsidP="038C41FA" w14:paraId="6FA6E04F" w14:textId="77777777">
      <w:pPr>
        <w:pStyle w:val="ListBullet"/>
      </w:pPr>
      <w:r w:rsidRPr="008E1AE3">
        <w:t>Agency has no commercial interest or conflict of interest in the data.</w:t>
      </w:r>
    </w:p>
    <w:p w:rsidR="004C6507" w:rsidRPr="008E1AE3" w14:paraId="6FF81CD3" w14:textId="77777777">
      <w:pPr>
        <w:rPr>
          <w:b/>
          <w:bCs/>
        </w:rPr>
      </w:pPr>
      <w:r w:rsidRPr="008E1AE3">
        <w:rPr>
          <w:b/>
          <w:bCs/>
        </w:rPr>
        <w:t>No points awarded for:</w:t>
      </w:r>
    </w:p>
    <w:p w:rsidR="004C6507" w:rsidRPr="008E1AE3" w:rsidP="038C41FA" w14:paraId="1C76BAAC" w14:textId="77777777">
      <w:pPr>
        <w:pStyle w:val="ListBullet"/>
      </w:pPr>
      <w:r w:rsidRPr="008E1AE3">
        <w:t>Data governance roles and responsibilities are not assigned for this dataset or data source.</w:t>
      </w:r>
    </w:p>
    <w:p w:rsidR="004C6507" w:rsidRPr="008E1AE3" w:rsidP="038C41FA" w14:paraId="11E4213E" w14:textId="77777777">
      <w:r w:rsidRPr="008E1AE3">
        <w:t>Find out more about the data quality framework by contacting the custodian.</w:t>
      </w:r>
    </w:p>
    <w:p w:rsidR="004C6507" w:rsidRPr="008E1AE3" w:rsidP="00EE2F64" w14:paraId="77DC094F" w14:textId="77777777">
      <w:pPr>
        <w:spacing w:before="200"/>
        <w:rPr>
          <w:b/>
          <w:bCs/>
          <w:sz w:val="24"/>
          <w:szCs w:val="24"/>
        </w:rPr>
      </w:pPr>
      <w:r w:rsidRPr="008E1AE3">
        <w:rPr>
          <w:b/>
          <w:bCs/>
          <w:sz w:val="24"/>
          <w:szCs w:val="24"/>
        </w:rPr>
        <w:t>Accuracy: Medium – star</w:t>
      </w:r>
    </w:p>
    <w:p w:rsidR="004C6507" w:rsidRPr="008E1AE3" w14:paraId="4F5E07F8" w14:textId="77777777">
      <w:pPr>
        <w:rPr>
          <w:b/>
          <w:bCs/>
        </w:rPr>
      </w:pPr>
      <w:r w:rsidRPr="008E1AE3">
        <w:rPr>
          <w:b/>
          <w:bCs/>
        </w:rPr>
        <w:t>Points awarded for:</w:t>
      </w:r>
    </w:p>
    <w:p w:rsidR="004C6507" w:rsidRPr="008E1AE3" w:rsidP="038C41FA" w14:paraId="6564A110" w14:textId="77777777">
      <w:pPr>
        <w:pStyle w:val="ListBullet"/>
      </w:pPr>
      <w:r w:rsidRPr="008E1AE3">
        <w:t>Data is revised and publicised if errors are identified</w:t>
      </w:r>
    </w:p>
    <w:p w:rsidR="004C6507" w:rsidRPr="008E1AE3" w:rsidP="038C41FA" w14:paraId="6083D933" w14:textId="77777777">
      <w:pPr>
        <w:pStyle w:val="ListBullet"/>
      </w:pPr>
      <w:r w:rsidRPr="008E1AE3">
        <w:t>The impact of any adjustments or other changes are reported</w:t>
      </w:r>
    </w:p>
    <w:p w:rsidR="004C6507" w:rsidRPr="008E1AE3" w:rsidP="038C41FA" w14:paraId="3D305311" w14:textId="77777777">
      <w:pPr>
        <w:pStyle w:val="ListBullet"/>
      </w:pPr>
      <w:r w:rsidRPr="008E1AE3">
        <w:t>There are no known gaps in the data (for example: non-responses, missing records, data not collected)</w:t>
      </w:r>
    </w:p>
    <w:p w:rsidR="004C6507" w:rsidRPr="008E1AE3" w:rsidP="038C41FA" w14:paraId="01EF8F57" w14:textId="77777777">
      <w:pPr>
        <w:pStyle w:val="ListBullet"/>
      </w:pPr>
      <w:r w:rsidRPr="008E1AE3">
        <w:t>Any factors impacting validity are reported.</w:t>
      </w:r>
    </w:p>
    <w:p w:rsidR="004C6507" w:rsidRPr="008E1AE3" w14:paraId="5E5AC01D" w14:textId="77777777">
      <w:pPr>
        <w:rPr>
          <w:b/>
          <w:bCs/>
        </w:rPr>
      </w:pPr>
      <w:r w:rsidRPr="008E1AE3">
        <w:rPr>
          <w:b/>
          <w:bCs/>
        </w:rPr>
        <w:t>No points awarded for:</w:t>
      </w:r>
    </w:p>
    <w:p w:rsidR="004C6507" w:rsidRPr="008E1AE3" w:rsidP="038C41FA" w14:paraId="5A890BA0" w14:textId="77777777">
      <w:pPr>
        <w:pStyle w:val="ListBullet"/>
      </w:pPr>
      <w:r w:rsidRPr="008E1AE3">
        <w:t>This data has not been subject to quality assurance.</w:t>
      </w:r>
    </w:p>
    <w:p w:rsidR="004C6507" w:rsidRPr="008E1AE3" w:rsidP="00F15099" w14:paraId="568FE9F7" w14:textId="77777777">
      <w:pPr>
        <w:spacing w:after="60"/>
      </w:pPr>
      <w:r w:rsidRPr="008E1AE3">
        <w:t>Find out more about the quality assurance processes from the custodian.</w:t>
      </w:r>
    </w:p>
    <w:p w:rsidR="004C6507" w:rsidRPr="008E1AE3" w:rsidP="00F15099" w14:paraId="6A0F97B2" w14:textId="77777777">
      <w:pPr>
        <w:rPr>
          <w:b/>
          <w:bCs/>
          <w:sz w:val="24"/>
          <w:szCs w:val="24"/>
        </w:rPr>
      </w:pPr>
      <w:r w:rsidRPr="008E1AE3">
        <w:rPr>
          <w:b/>
          <w:bCs/>
          <w:sz w:val="24"/>
          <w:szCs w:val="24"/>
        </w:rPr>
        <w:t>Coherence: High – star</w:t>
      </w:r>
    </w:p>
    <w:p w:rsidR="004C6507" w:rsidRPr="008E1AE3" w14:paraId="733B883D" w14:textId="77777777">
      <w:pPr>
        <w:rPr>
          <w:b/>
          <w:bCs/>
        </w:rPr>
      </w:pPr>
      <w:r w:rsidRPr="008E1AE3">
        <w:rPr>
          <w:b/>
          <w:bCs/>
        </w:rPr>
        <w:t>Points awarded for:</w:t>
      </w:r>
    </w:p>
    <w:p w:rsidR="004C6507" w:rsidRPr="008E1AE3" w:rsidP="038C41FA" w14:paraId="4DE680AC" w14:textId="77777777">
      <w:pPr>
        <w:pStyle w:val="ListBullet"/>
      </w:pPr>
      <w:r w:rsidRPr="008E1AE3">
        <w:t>Standard definitions, common concepts, classifications and data recording practices have been used</w:t>
      </w:r>
    </w:p>
    <w:p w:rsidR="004C6507" w:rsidRPr="008E1AE3" w:rsidP="038C41FA" w14:paraId="1EE331B6" w14:textId="77777777">
      <w:pPr>
        <w:pStyle w:val="ListBullet"/>
      </w:pPr>
      <w:r w:rsidRPr="008E1AE3">
        <w:t>Elements within the data can be meaningfully compared</w:t>
      </w:r>
    </w:p>
    <w:p w:rsidR="004C6507" w:rsidRPr="008E1AE3" w:rsidP="038C41FA" w14:paraId="0CF6C3D3" w14:textId="77777777">
      <w:pPr>
        <w:pStyle w:val="ListBullet"/>
      </w:pPr>
      <w:r w:rsidRPr="008E1AE3">
        <w:t>This data is generally consistent with similar or related data sources</w:t>
      </w:r>
    </w:p>
    <w:p w:rsidR="004C6507" w:rsidRPr="008E1AE3" w:rsidP="038C41FA" w14:paraId="71C32BAC" w14:textId="77777777">
      <w:pPr>
        <w:pStyle w:val="ListBullet"/>
      </w:pPr>
      <w:r w:rsidRPr="008E1AE3">
        <w:t xml:space="preserve">This data is part of a time series. There have not been significant changes in the way data items are defined, classified or counted since the start of the series. </w:t>
      </w:r>
    </w:p>
    <w:p w:rsidR="004C6507" w:rsidRPr="008E1AE3" w14:paraId="676F6443" w14:textId="77777777">
      <w:pPr>
        <w:rPr>
          <w:b/>
          <w:bCs/>
        </w:rPr>
      </w:pPr>
      <w:r w:rsidRPr="008E1AE3">
        <w:rPr>
          <w:b/>
          <w:bCs/>
        </w:rPr>
        <w:t>No points awarded for:</w:t>
      </w:r>
    </w:p>
    <w:p w:rsidR="004C6507" w:rsidRPr="008E1AE3" w:rsidP="00F15099" w14:paraId="37664511" w14:textId="77777777">
      <w:pPr>
        <w:pStyle w:val="ListBullet"/>
        <w:spacing w:after="60"/>
      </w:pPr>
      <w:r w:rsidRPr="008E1AE3">
        <w:t>There have been changes in data collection since the last release in this series.</w:t>
      </w:r>
    </w:p>
    <w:p w:rsidR="004C6507" w:rsidRPr="008E1AE3" w:rsidP="00F15099" w14:paraId="69747823" w14:textId="77777777">
      <w:pPr>
        <w:rPr>
          <w:b/>
          <w:bCs/>
          <w:sz w:val="24"/>
          <w:szCs w:val="24"/>
        </w:rPr>
      </w:pPr>
      <w:r w:rsidRPr="008E1AE3">
        <w:rPr>
          <w:b/>
          <w:bCs/>
          <w:sz w:val="24"/>
          <w:szCs w:val="24"/>
        </w:rPr>
        <w:t>Interpretability: Low</w:t>
      </w:r>
    </w:p>
    <w:p w:rsidR="004C6507" w:rsidRPr="008E1AE3" w14:paraId="3431C430" w14:textId="77777777">
      <w:pPr>
        <w:rPr>
          <w:b/>
          <w:bCs/>
        </w:rPr>
      </w:pPr>
      <w:r w:rsidRPr="008E1AE3">
        <w:rPr>
          <w:b/>
          <w:bCs/>
        </w:rPr>
        <w:t>No points awarded for:</w:t>
      </w:r>
    </w:p>
    <w:p w:rsidR="004C6507" w:rsidRPr="008E1AE3" w:rsidP="038C41FA" w14:paraId="7440275F" w14:textId="77777777">
      <w:pPr>
        <w:pStyle w:val="ListBullet"/>
      </w:pPr>
      <w:r w:rsidRPr="008E1AE3">
        <w:t>No data dictionary is available to explain the meaning of data elements, their origin, format and relationships</w:t>
      </w:r>
    </w:p>
    <w:p w:rsidR="004C6507" w:rsidRPr="008E1AE3" w:rsidP="038C41FA" w14:paraId="5C3361B8" w14:textId="77777777">
      <w:pPr>
        <w:pStyle w:val="ListBullet"/>
      </w:pPr>
      <w:r w:rsidRPr="008E1AE3">
        <w:t>Information is not available about the primary data sources and methods of data collection (for example: instruments, forms and instructions)</w:t>
      </w:r>
    </w:p>
    <w:p w:rsidR="004C6507" w:rsidRPr="008E1AE3" w:rsidP="038C41FA" w14:paraId="3A38B393" w14:textId="77777777">
      <w:pPr>
        <w:pStyle w:val="ListBullet"/>
      </w:pPr>
      <w:r w:rsidRPr="008E1AE3">
        <w:t>Information is not available to help users evaluate the accuracy of the data and any level of error</w:t>
      </w:r>
    </w:p>
    <w:p w:rsidR="004C6507" w:rsidRPr="008E1AE3" w:rsidP="038C41FA" w14:paraId="2C4DDF2D" w14:textId="77777777">
      <w:pPr>
        <w:pStyle w:val="ListBullet"/>
      </w:pPr>
      <w:r w:rsidRPr="008E1AE3">
        <w:t>Information is not available to explain concepts, help users correctly interpret the data and understand how it can be used</w:t>
      </w:r>
    </w:p>
    <w:p w:rsidR="004C6507" w:rsidRPr="008E1AE3" w:rsidP="00F15099" w14:paraId="427793D8" w14:textId="77777777">
      <w:pPr>
        <w:pStyle w:val="ListBullet"/>
        <w:spacing w:after="60"/>
      </w:pPr>
      <w:r w:rsidRPr="008E1AE3">
        <w:t>Information is not available to explain ambiguous or technical terms used in the data.</w:t>
      </w:r>
    </w:p>
    <w:p w:rsidR="004C6507" w:rsidRPr="008E1AE3" w:rsidP="00F15099" w14:paraId="006F9ECA" w14:textId="77777777">
      <w:pPr>
        <w:rPr>
          <w:b/>
          <w:bCs/>
          <w:sz w:val="24"/>
          <w:szCs w:val="24"/>
        </w:rPr>
      </w:pPr>
      <w:r w:rsidRPr="008E1AE3">
        <w:rPr>
          <w:b/>
          <w:bCs/>
          <w:sz w:val="24"/>
          <w:szCs w:val="24"/>
        </w:rPr>
        <w:t>Accessibility: Low</w:t>
      </w:r>
    </w:p>
    <w:p w:rsidR="004C6507" w:rsidRPr="008E1AE3" w14:paraId="552B4C46" w14:textId="77777777">
      <w:pPr>
        <w:rPr>
          <w:b/>
          <w:bCs/>
        </w:rPr>
      </w:pPr>
      <w:r w:rsidRPr="008E1AE3">
        <w:rPr>
          <w:b/>
          <w:bCs/>
        </w:rPr>
        <w:t>Points awarded for:</w:t>
      </w:r>
    </w:p>
    <w:p w:rsidR="004C6507" w:rsidRPr="008E1AE3" w:rsidP="038C41FA" w14:paraId="791A0FAA" w14:textId="77777777">
      <w:pPr>
        <w:pStyle w:val="ListBullet"/>
      </w:pPr>
      <w:r w:rsidRPr="008E1AE3">
        <w:t>This dataset or data source is available in a machine-processable, structured format</w:t>
      </w:r>
    </w:p>
    <w:p w:rsidR="004C6507" w:rsidRPr="008E1AE3" w:rsidP="038C41FA" w14:paraId="77D7EA2F" w14:textId="77777777">
      <w:pPr>
        <w:pStyle w:val="ListBullet"/>
      </w:pPr>
      <w:r w:rsidRPr="008E1AE3">
        <w:t>This dataset or data source is not available in a non-proprietary format.</w:t>
      </w:r>
    </w:p>
    <w:p w:rsidR="004C6507" w:rsidRPr="008E1AE3" w14:paraId="31400FFA" w14:textId="77777777">
      <w:pPr>
        <w:rPr>
          <w:b/>
          <w:bCs/>
        </w:rPr>
      </w:pPr>
      <w:r w:rsidRPr="008E1AE3">
        <w:rPr>
          <w:b/>
          <w:bCs/>
        </w:rPr>
        <w:t>No points awarded for:</w:t>
      </w:r>
    </w:p>
    <w:p w:rsidR="004C6507" w:rsidRPr="008E1AE3" w:rsidP="038C41FA" w14:paraId="01B1A9E3" w14:textId="77777777">
      <w:pPr>
        <w:pStyle w:val="ListBullet"/>
      </w:pPr>
      <w:r w:rsidRPr="008E1AE3">
        <w:t>This dataset or data source is not available on the web with an open licence</w:t>
      </w:r>
    </w:p>
    <w:p w:rsidR="004C6507" w:rsidRPr="008E1AE3" w:rsidP="038C41FA" w14:paraId="17CF288F" w14:textId="77777777">
      <w:pPr>
        <w:pStyle w:val="ListBullet"/>
      </w:pPr>
      <w:r w:rsidRPr="008E1AE3">
        <w:t>This dataset or data source is not described using open standards and persistent identifiers</w:t>
      </w:r>
    </w:p>
    <w:p w:rsidR="004C6507" w:rsidRPr="008E1AE3" w:rsidP="00F15099" w14:paraId="01416728" w14:textId="0A3001E9">
      <w:pPr>
        <w:pStyle w:val="ListBullet"/>
      </w:pPr>
      <w:r w:rsidRPr="008E1AE3">
        <w:t>This dataset or data source is not linked to other data, to provide context.</w:t>
      </w:r>
    </w:p>
    <w:p w:rsidR="004C6507" w:rsidRPr="008E1AE3" w:rsidP="00524B9C" w14:paraId="451F1C09" w14:textId="77777777">
      <w:pPr>
        <w:pStyle w:val="ListBullet"/>
        <w:keepNext/>
        <w:numPr>
          <w:ilvl w:val="0"/>
          <w:numId w:val="0"/>
        </w:numPr>
        <w:spacing w:after="60"/>
      </w:pPr>
      <w:r w:rsidRPr="008E1AE3">
        <w:rPr>
          <w:b/>
          <w:bCs/>
          <w:color w:val="007A33"/>
          <w:sz w:val="28"/>
          <w:szCs w:val="28"/>
        </w:rPr>
        <w:t xml:space="preserve">Information to help users evaluate relevance </w:t>
      </w:r>
    </w:p>
    <w:p w:rsidR="004C6507" w:rsidRPr="008E1AE3" w:rsidP="00524B9C" w14:paraId="55835494" w14:textId="77777777">
      <w:pPr>
        <w:rPr>
          <w:b/>
          <w:bCs/>
          <w:sz w:val="24"/>
          <w:szCs w:val="24"/>
        </w:rPr>
      </w:pPr>
      <w:r w:rsidRPr="008E1AE3">
        <w:rPr>
          <w:b/>
          <w:bCs/>
          <w:sz w:val="24"/>
          <w:szCs w:val="24"/>
        </w:rPr>
        <w:t xml:space="preserve">Scope and coverage </w:t>
      </w:r>
    </w:p>
    <w:p w:rsidR="004C6507" w:rsidRPr="008E1AE3" w:rsidP="038C41FA" w14:paraId="2A50920D" w14:textId="6E152940">
      <w:r w:rsidRPr="008E1AE3">
        <w:t>SIRA uses the HBC data to regulate the Home Building Compensation insurance in NSW. The HBC data includes eligibility information, securities information, certificate</w:t>
      </w:r>
      <w:r w:rsidR="00D81C75">
        <w:t>s</w:t>
      </w:r>
      <w:r w:rsidRPr="008E1AE3">
        <w:t xml:space="preserve"> of </w:t>
      </w:r>
      <w:r w:rsidR="009570DD">
        <w:t>insurance</w:t>
      </w:r>
      <w:r w:rsidRPr="008E1AE3" w:rsidR="009570DD">
        <w:t xml:space="preserve"> </w:t>
      </w:r>
      <w:r w:rsidRPr="008E1AE3">
        <w:t xml:space="preserve">information, builders’ premium information, claims information and claim payments information. </w:t>
      </w:r>
    </w:p>
    <w:p w:rsidR="004C6507" w:rsidRPr="008E1AE3" w:rsidP="038C41FA" w14:paraId="6FFFBFDB" w14:textId="77777777">
      <w:r w:rsidRPr="008E1AE3">
        <w:t xml:space="preserve">Target of the data collection: Builders and claimants covered by the NSW home building compensation system. </w:t>
      </w:r>
    </w:p>
    <w:p w:rsidR="004C6507" w:rsidRPr="008E1AE3" w:rsidP="00EE2F64" w14:paraId="41702B2C" w14:textId="77777777">
      <w:pPr>
        <w:spacing w:before="200"/>
        <w:rPr>
          <w:b/>
          <w:bCs/>
          <w:sz w:val="24"/>
          <w:szCs w:val="24"/>
        </w:rPr>
      </w:pPr>
      <w:r w:rsidRPr="008E1AE3">
        <w:rPr>
          <w:b/>
          <w:bCs/>
          <w:sz w:val="24"/>
          <w:szCs w:val="24"/>
        </w:rPr>
        <w:t xml:space="preserve">Geographic detail </w:t>
      </w:r>
    </w:p>
    <w:p w:rsidR="004C6507" w:rsidRPr="008E1AE3" w:rsidP="038C41FA" w14:paraId="0734FF25" w14:textId="77777777">
      <w:r w:rsidRPr="008E1AE3">
        <w:t>Data cover the following geographic area(s): State</w:t>
      </w:r>
    </w:p>
    <w:p w:rsidR="004C6507" w:rsidRPr="008E1AE3" w:rsidP="038C41FA" w14:paraId="172CDED9" w14:textId="77777777">
      <w:r w:rsidRPr="008E1AE3">
        <w:t>At lower levels of geography, the data are represented or apportioned as follows: ABS statistical areas.</w:t>
      </w:r>
    </w:p>
    <w:p w:rsidR="004C6507" w:rsidRPr="008E1AE3" w:rsidP="00EE2F64" w14:paraId="2F6DEB59" w14:textId="77777777">
      <w:pPr>
        <w:spacing w:before="200"/>
        <w:rPr>
          <w:b/>
          <w:bCs/>
          <w:sz w:val="24"/>
          <w:szCs w:val="24"/>
        </w:rPr>
      </w:pPr>
      <w:r w:rsidRPr="008E1AE3">
        <w:rPr>
          <w:b/>
          <w:bCs/>
          <w:sz w:val="24"/>
          <w:szCs w:val="24"/>
        </w:rPr>
        <w:t>Outputs</w:t>
      </w:r>
    </w:p>
    <w:p w:rsidR="004C6507" w:rsidRPr="008E1AE3" w:rsidP="038C41FA" w14:paraId="26EA77DF" w14:textId="77777777">
      <w:r w:rsidRPr="008E1AE3">
        <w:t>The data are available as: Published (unstructured content, assembled into a form suitable for wide dissemination).</w:t>
      </w:r>
    </w:p>
    <w:p w:rsidR="004C6507" w:rsidRPr="008E1AE3" w:rsidP="00EE2F64" w14:paraId="0C0564E1" w14:textId="77777777">
      <w:pPr>
        <w:spacing w:before="200"/>
        <w:rPr>
          <w:b/>
          <w:bCs/>
          <w:sz w:val="24"/>
          <w:szCs w:val="24"/>
        </w:rPr>
      </w:pPr>
      <w:r w:rsidRPr="008E1AE3">
        <w:rPr>
          <w:b/>
          <w:bCs/>
          <w:sz w:val="24"/>
          <w:szCs w:val="24"/>
        </w:rPr>
        <w:t>Other cautions</w:t>
      </w:r>
    </w:p>
    <w:p w:rsidR="004C6507" w:rsidRPr="008E1AE3" w:rsidP="038C41FA" w14:paraId="45FBCE6D" w14:textId="77777777">
      <w:r w:rsidRPr="008E1AE3">
        <w:t>N/A</w:t>
      </w:r>
    </w:p>
    <w:p w:rsidR="004C6507" w:rsidRPr="008E1AE3" w:rsidP="00EE2F64" w14:paraId="682AF866" w14:textId="77777777">
      <w:pPr>
        <w:spacing w:before="200"/>
        <w:rPr>
          <w:b/>
          <w:bCs/>
          <w:sz w:val="24"/>
          <w:szCs w:val="24"/>
        </w:rPr>
      </w:pPr>
      <w:r w:rsidRPr="008E1AE3">
        <w:rPr>
          <w:b/>
          <w:bCs/>
          <w:sz w:val="24"/>
          <w:szCs w:val="24"/>
        </w:rPr>
        <w:t>Reference period</w:t>
      </w:r>
    </w:p>
    <w:p w:rsidR="004C6507" w:rsidRPr="008E1AE3" w:rsidP="038C41FA" w14:paraId="538841DC" w14:textId="77777777">
      <w:r w:rsidRPr="008E1AE3">
        <w:t>Period for which the data were obtained: 01/07/2010 – 30/06/2018</w:t>
      </w:r>
    </w:p>
    <w:p w:rsidR="004C6507" w:rsidRPr="008E1AE3" w:rsidP="038C41FA" w14:paraId="2D5388D6" w14:textId="77777777">
      <w:r w:rsidRPr="008E1AE3">
        <w:t xml:space="preserve">There were some changes to the data collection or observation period: </w:t>
      </w:r>
    </w:p>
    <w:p w:rsidR="004C6507" w:rsidRPr="008E1AE3" w:rsidP="038C41FA" w14:paraId="78B55381" w14:textId="13B041B7">
      <w:pPr>
        <w:pStyle w:val="ListBullet"/>
      </w:pPr>
      <w:r>
        <w:t>HBC c</w:t>
      </w:r>
      <w:r w:rsidR="00974828">
        <w:t xml:space="preserve">ontracts of insurance </w:t>
      </w:r>
      <w:r w:rsidR="00EF25DA">
        <w:t xml:space="preserve">for owner-builders </w:t>
      </w:r>
      <w:r w:rsidR="00974828">
        <w:t xml:space="preserve">are </w:t>
      </w:r>
      <w:r w:rsidRPr="008E1AE3">
        <w:t xml:space="preserve">no longer issued after March 2015. </w:t>
      </w:r>
    </w:p>
    <w:p w:rsidR="00BA400A" w:rsidRPr="008E1AE3" w:rsidP="00BA400A" w14:paraId="540D0046" w14:textId="16F94CCF">
      <w:pPr>
        <w:pStyle w:val="ListBullet"/>
      </w:pPr>
      <w:r>
        <w:t xml:space="preserve">HBC </w:t>
      </w:r>
      <w:r>
        <w:rPr>
          <w:noProof/>
        </w:rPr>
        <w:t xml:space="preserve">contracts of </w:t>
      </w:r>
      <w:r>
        <w:t>insurance</w:t>
      </w:r>
      <w:r w:rsidRPr="008E1AE3">
        <w:t xml:space="preserve"> for </w:t>
      </w:r>
      <w:r>
        <w:t>h</w:t>
      </w:r>
      <w:r w:rsidRPr="00BA400A">
        <w:t>igh rise buildings</w:t>
      </w:r>
      <w:r>
        <w:t>, i.e.</w:t>
      </w:r>
      <w:r w:rsidRPr="00BA400A">
        <w:t xml:space="preserve"> </w:t>
      </w:r>
      <w:r>
        <w:t>n</w:t>
      </w:r>
      <w:r w:rsidRPr="008E1AE3">
        <w:t>ew multi</w:t>
      </w:r>
      <w:r>
        <w:t xml:space="preserve">ple </w:t>
      </w:r>
      <w:r w:rsidRPr="008E1AE3">
        <w:t>dwelling</w:t>
      </w:r>
      <w:r>
        <w:t>s</w:t>
      </w:r>
      <w:r w:rsidRPr="008E1AE3">
        <w:t xml:space="preserve"> (greater than three storeys)</w:t>
      </w:r>
      <w:r>
        <w:t>,</w:t>
      </w:r>
      <w:r w:rsidRPr="008E1AE3">
        <w:t xml:space="preserve"> </w:t>
      </w:r>
      <w:r>
        <w:t>ceased to be</w:t>
      </w:r>
      <w:r w:rsidRPr="008E1AE3">
        <w:t xml:space="preserve"> issued after December 2003.</w:t>
      </w:r>
    </w:p>
    <w:p w:rsidR="004C6507" w:rsidRPr="008E1AE3" w:rsidP="00EE2F64" w14:paraId="51CCC40C" w14:textId="77777777">
      <w:pPr>
        <w:spacing w:before="200"/>
        <w:rPr>
          <w:b/>
          <w:bCs/>
          <w:sz w:val="24"/>
          <w:szCs w:val="24"/>
        </w:rPr>
      </w:pPr>
      <w:r w:rsidRPr="008E1AE3">
        <w:rPr>
          <w:b/>
          <w:bCs/>
          <w:sz w:val="24"/>
          <w:szCs w:val="24"/>
        </w:rPr>
        <w:t>Timing</w:t>
      </w:r>
    </w:p>
    <w:p w:rsidR="004C6507" w:rsidRPr="008E1AE3" w:rsidP="038C41FA" w14:paraId="3789D52E" w14:textId="77777777">
      <w:r w:rsidRPr="008E1AE3">
        <w:t>Updates and revisions: There is no revision policy.</w:t>
      </w:r>
    </w:p>
    <w:p w:rsidR="004C6507" w:rsidRPr="008E1AE3" w:rsidP="00EE2F64" w14:paraId="3DC410DD" w14:textId="77777777">
      <w:pPr>
        <w:spacing w:before="200"/>
        <w:rPr>
          <w:b/>
          <w:bCs/>
          <w:sz w:val="24"/>
          <w:szCs w:val="24"/>
        </w:rPr>
      </w:pPr>
      <w:r w:rsidRPr="008E1AE3">
        <w:rPr>
          <w:b/>
          <w:bCs/>
          <w:sz w:val="24"/>
          <w:szCs w:val="24"/>
        </w:rPr>
        <w:t>Frequency of production</w:t>
      </w:r>
    </w:p>
    <w:p w:rsidR="004C6507" w:rsidP="00524B9C" w14:paraId="25C7CF3F" w14:textId="45841C3D">
      <w:pPr>
        <w:spacing w:after="200"/>
      </w:pPr>
      <w:r w:rsidRPr="008E1AE3">
        <w:t xml:space="preserve">This </w:t>
      </w:r>
      <w:r w:rsidRPr="005D7EC5" w:rsidR="005D7EC5">
        <w:t xml:space="preserve">information and data in this report </w:t>
      </w:r>
      <w:r w:rsidRPr="008E1AE3">
        <w:t xml:space="preserve">is expected to be produced </w:t>
      </w:r>
      <w:r w:rsidR="005D7EC5">
        <w:t xml:space="preserve">on a regular basis </w:t>
      </w:r>
      <w:r w:rsidRPr="005D7EC5" w:rsidR="005D7EC5">
        <w:t xml:space="preserve">in </w:t>
      </w:r>
      <w:r w:rsidR="005D7EC5">
        <w:t xml:space="preserve">an </w:t>
      </w:r>
      <w:r w:rsidRPr="005D7EC5" w:rsidR="005D7EC5">
        <w:t>appropriate format</w:t>
      </w:r>
      <w:r w:rsidRPr="008E1AE3">
        <w:t>.</w:t>
      </w:r>
    </w:p>
    <w:p w:rsidR="004C6507" w:rsidRPr="008E1AE3" w:rsidP="004C6507" w14:paraId="7D665902" w14:textId="77777777">
      <w:pPr>
        <w:spacing w:before="0" w:after="200"/>
        <w:rPr>
          <w:rFonts w:ascii="Clarendon Lt BT" w:hAnsi="Clarendon Lt BT"/>
          <w:sz w:val="32"/>
          <w:szCs w:val="32"/>
        </w:rPr>
      </w:pPr>
      <w:r w:rsidRPr="008E1AE3">
        <w:rPr>
          <w:rFonts w:ascii="Clarendon Lt BT" w:hAnsi="Clarendon Lt BT"/>
          <w:sz w:val="32"/>
          <w:szCs w:val="32"/>
        </w:rPr>
        <w:t>Data disclaimer</w:t>
      </w:r>
    </w:p>
    <w:p w:rsidR="004C6507" w:rsidRPr="008E1AE3" w:rsidP="038C41FA" w14:paraId="5A71999C" w14:textId="77777777">
      <w:r w:rsidRPr="008E1AE3">
        <w:t>The NSW Government is committed to producing data that is accurate, complete and useful. Notwithstanding its commitment to data quality, the NSW Government gives no warranty as to the fitness of this data for a particular purpose. While every effort is made to ensure data quality, the data is provided ‘as is’. The burden for fitness of the data relies completely with the user. The NSW Government shall not be held liable for improper or incorrect use of the data.</w:t>
      </w:r>
    </w:p>
    <w:p w:rsidR="004C6507" w:rsidRPr="008E1AE3" w:rsidP="004C6507" w14:paraId="531EE77D" w14:textId="075CE8A8">
      <w:pPr>
        <w:keepNext/>
        <w:spacing w:before="200" w:after="240"/>
        <w:rPr>
          <w:rFonts w:ascii="Clarendon Lt BT" w:hAnsi="Clarendon Lt BT"/>
          <w:sz w:val="32"/>
          <w:szCs w:val="32"/>
        </w:rPr>
      </w:pPr>
      <w:r w:rsidRPr="008E1AE3">
        <w:rPr>
          <w:rFonts w:ascii="Clarendon Lt BT" w:hAnsi="Clarendon Lt BT"/>
          <w:sz w:val="32"/>
          <w:szCs w:val="32"/>
        </w:rPr>
        <w:t xml:space="preserve">Understanding the </w:t>
      </w:r>
      <w:r w:rsidR="00AD27A9">
        <w:rPr>
          <w:rFonts w:ascii="Clarendon Lt BT" w:hAnsi="Clarendon Lt BT"/>
          <w:sz w:val="32"/>
          <w:szCs w:val="32"/>
        </w:rPr>
        <w:t>d</w:t>
      </w:r>
      <w:r w:rsidRPr="008E1AE3" w:rsidR="00AD27A9">
        <w:rPr>
          <w:rFonts w:ascii="Clarendon Lt BT" w:hAnsi="Clarendon Lt BT"/>
          <w:sz w:val="32"/>
          <w:szCs w:val="32"/>
        </w:rPr>
        <w:t xml:space="preserve">ata </w:t>
      </w:r>
      <w:r w:rsidR="00AD27A9">
        <w:rPr>
          <w:rFonts w:ascii="Clarendon Lt BT" w:hAnsi="Clarendon Lt BT"/>
          <w:sz w:val="32"/>
          <w:szCs w:val="32"/>
        </w:rPr>
        <w:t>q</w:t>
      </w:r>
      <w:r w:rsidRPr="008E1AE3" w:rsidR="00AD27A9">
        <w:rPr>
          <w:rFonts w:ascii="Clarendon Lt BT" w:hAnsi="Clarendon Lt BT"/>
          <w:sz w:val="32"/>
          <w:szCs w:val="32"/>
        </w:rPr>
        <w:t xml:space="preserve">uality </w:t>
      </w:r>
      <w:r w:rsidR="00AD27A9">
        <w:rPr>
          <w:rFonts w:ascii="Clarendon Lt BT" w:hAnsi="Clarendon Lt BT"/>
          <w:sz w:val="32"/>
          <w:szCs w:val="32"/>
        </w:rPr>
        <w:t>s</w:t>
      </w:r>
      <w:r w:rsidRPr="008E1AE3" w:rsidR="00AD27A9">
        <w:rPr>
          <w:rFonts w:ascii="Clarendon Lt BT" w:hAnsi="Clarendon Lt BT"/>
          <w:sz w:val="32"/>
          <w:szCs w:val="32"/>
        </w:rPr>
        <w:t>tatement</w:t>
      </w:r>
    </w:p>
    <w:p w:rsidR="004C6507" w:rsidRPr="008E1AE3" w:rsidP="038C41FA" w14:paraId="63A37CE0" w14:textId="77777777">
      <w:r w:rsidRPr="008E1AE3">
        <w:t>The data quality statement aims to help you understand how a particular dataset could be used and whether it can be compared with other, similar datasets. It provides a description of the characteristics of the data to help you decide whether the data will be fit for your specific purpose.</w:t>
      </w:r>
    </w:p>
    <w:p w:rsidR="004C6507" w:rsidRPr="008E1AE3" w:rsidP="00EE2F64" w14:paraId="11FA8EBF" w14:textId="77777777">
      <w:pPr>
        <w:keepNext/>
        <w:keepLines/>
        <w:spacing w:before="200"/>
        <w:rPr>
          <w:b/>
          <w:bCs/>
          <w:color w:val="007A33"/>
          <w:sz w:val="28"/>
          <w:szCs w:val="28"/>
        </w:rPr>
      </w:pPr>
      <w:r w:rsidRPr="008E1AE3">
        <w:rPr>
          <w:b/>
          <w:bCs/>
          <w:color w:val="007A33"/>
          <w:sz w:val="28"/>
          <w:szCs w:val="28"/>
        </w:rPr>
        <w:t>About the data quality rating:</w:t>
      </w:r>
    </w:p>
    <w:p w:rsidR="004C6507" w:rsidRPr="008E1AE3" w:rsidP="038C41FA" w14:paraId="5442E20B" w14:textId="77777777">
      <w:r w:rsidRPr="008E1AE3">
        <w:t>The reporting questionnaire asks five questions for each of these data quality dimensions:</w:t>
      </w:r>
    </w:p>
    <w:p w:rsidR="004C6507" w:rsidRPr="008E1AE3" w:rsidP="038C41FA" w14:paraId="24E6A3BA" w14:textId="77777777">
      <w:pPr>
        <w:pStyle w:val="ListBullet"/>
      </w:pPr>
      <w:r w:rsidRPr="008E1AE3">
        <w:t>institutional environment</w:t>
      </w:r>
    </w:p>
    <w:p w:rsidR="004C6507" w:rsidRPr="008E1AE3" w:rsidP="038C41FA" w14:paraId="3F23E758" w14:textId="77777777">
      <w:pPr>
        <w:pStyle w:val="ListBullet"/>
      </w:pPr>
      <w:r w:rsidRPr="008E1AE3">
        <w:t>accuracy</w:t>
      </w:r>
    </w:p>
    <w:p w:rsidR="004C6507" w:rsidRPr="008E1AE3" w:rsidP="038C41FA" w14:paraId="5F6EED77" w14:textId="77777777">
      <w:pPr>
        <w:pStyle w:val="ListBullet"/>
      </w:pPr>
      <w:r w:rsidRPr="008E1AE3">
        <w:t>coherence</w:t>
      </w:r>
    </w:p>
    <w:p w:rsidR="004C6507" w:rsidRPr="008E1AE3" w:rsidP="038C41FA" w14:paraId="3D98C78C" w14:textId="77777777">
      <w:pPr>
        <w:pStyle w:val="ListBullet"/>
      </w:pPr>
      <w:r w:rsidRPr="008E1AE3">
        <w:t>interpretability</w:t>
      </w:r>
    </w:p>
    <w:p w:rsidR="004C6507" w:rsidRPr="008E1AE3" w:rsidP="038C41FA" w14:paraId="292C0D1E" w14:textId="77777777">
      <w:pPr>
        <w:pStyle w:val="ListBullet"/>
      </w:pPr>
      <w:r w:rsidRPr="008E1AE3">
        <w:t>accessibility</w:t>
      </w:r>
    </w:p>
    <w:p w:rsidR="004C6507" w:rsidRPr="008E1AE3" w:rsidP="038C41FA" w14:paraId="1A0007C6" w14:textId="77777777">
      <w:r w:rsidRPr="008E1AE3">
        <w:t>For each question: ‘yes’ = 1 point, ‘no’ = 0 points. The number of points determines the quality level for each dimension (high, medium, low).</w:t>
      </w:r>
    </w:p>
    <w:p w:rsidR="004C6507" w:rsidRPr="008E1AE3" w:rsidP="038C41FA" w14:paraId="0E370289" w14:textId="77777777">
      <w:r w:rsidRPr="008E1AE3">
        <w:t>Only dimensions with four or five points receive a star.</w:t>
      </w:r>
    </w:p>
    <w:tbl>
      <w:tblPr>
        <w:tblStyle w:val="Style5"/>
        <w:tblCaption w:val="Data quality rating points"/>
        <w:tblDescription w:val="Table with 1 row header and three columns showing points, quality level and star/no star. "/>
        <w:tblW w:w="0" w:type="auto"/>
        <w:tblLayout w:type="fixed"/>
        <w:tblLook w:val="04A0"/>
      </w:tblPr>
      <w:tblGrid>
        <w:gridCol w:w="1134"/>
        <w:gridCol w:w="1276"/>
        <w:gridCol w:w="1701"/>
      </w:tblGrid>
      <w:tr w14:paraId="6ACB4A4A" w14:textId="77777777" w:rsidTr="00F2257A">
        <w:tblPrEx>
          <w:tblW w:w="0" w:type="auto"/>
          <w:tblLayout w:type="fixed"/>
          <w:tblLook w:val="04A0"/>
        </w:tblPrEx>
        <w:tc>
          <w:tcPr>
            <w:tcW w:w="1134" w:type="dxa"/>
          </w:tcPr>
          <w:p w:rsidR="004C6507" w:rsidRPr="008E1AE3" w:rsidP="000C6C26" w14:paraId="6F68FFCF" w14:textId="77777777">
            <w:pPr>
              <w:spacing w:before="80" w:after="80"/>
              <w:rPr>
                <w:rFonts w:ascii="Gotham Medium" w:hAnsi="Gotham Medium"/>
              </w:rPr>
            </w:pPr>
            <w:r w:rsidRPr="008E1AE3">
              <w:rPr>
                <w:rFonts w:ascii="Gotham Medium" w:hAnsi="Gotham Medium"/>
              </w:rPr>
              <w:t>Points</w:t>
            </w:r>
          </w:p>
        </w:tc>
        <w:tc>
          <w:tcPr>
            <w:tcW w:w="1276" w:type="dxa"/>
          </w:tcPr>
          <w:p w:rsidR="004C6507" w:rsidRPr="008E1AE3" w:rsidP="000C6C26" w14:paraId="2A2A9153" w14:textId="77777777">
            <w:pPr>
              <w:spacing w:before="80" w:after="80"/>
              <w:rPr>
                <w:rFonts w:ascii="Gotham Medium" w:hAnsi="Gotham Medium"/>
              </w:rPr>
            </w:pPr>
            <w:r w:rsidRPr="008E1AE3">
              <w:rPr>
                <w:rFonts w:ascii="Gotham Medium" w:hAnsi="Gotham Medium"/>
              </w:rPr>
              <w:t>Quality level</w:t>
            </w:r>
          </w:p>
        </w:tc>
        <w:tc>
          <w:tcPr>
            <w:tcW w:w="1701" w:type="dxa"/>
          </w:tcPr>
          <w:p w:rsidR="004C6507" w:rsidRPr="008E1AE3" w:rsidP="000C6C26" w14:paraId="3E15F0FF" w14:textId="77777777">
            <w:pPr>
              <w:spacing w:before="80" w:after="80"/>
              <w:rPr>
                <w:rFonts w:ascii="Gotham Medium" w:hAnsi="Gotham Medium"/>
              </w:rPr>
            </w:pPr>
            <w:r w:rsidRPr="008E1AE3">
              <w:rPr>
                <w:rFonts w:ascii="Gotham Medium" w:hAnsi="Gotham Medium"/>
              </w:rPr>
              <w:t>Star/No star</w:t>
            </w:r>
          </w:p>
        </w:tc>
      </w:tr>
      <w:tr w14:paraId="2609A788" w14:textId="77777777" w:rsidTr="00F2257A">
        <w:tblPrEx>
          <w:tblW w:w="0" w:type="auto"/>
          <w:tblLayout w:type="fixed"/>
          <w:tblLook w:val="04A0"/>
        </w:tblPrEx>
        <w:tc>
          <w:tcPr>
            <w:tcW w:w="1134" w:type="dxa"/>
          </w:tcPr>
          <w:p w:rsidR="004C6507" w:rsidRPr="008E1AE3" w:rsidP="000C6C26" w14:paraId="13EDE90E" w14:textId="77777777">
            <w:pPr>
              <w:spacing w:before="80" w:after="80"/>
            </w:pPr>
            <w:r w:rsidRPr="008E1AE3">
              <w:t>0</w:t>
            </w:r>
          </w:p>
        </w:tc>
        <w:tc>
          <w:tcPr>
            <w:tcW w:w="1276" w:type="dxa"/>
          </w:tcPr>
          <w:p w:rsidR="004C6507" w:rsidRPr="008E1AE3" w:rsidP="038C41FA" w14:paraId="29126E6B" w14:textId="77777777">
            <w:pPr>
              <w:spacing w:before="80" w:after="80"/>
            </w:pPr>
            <w:r w:rsidRPr="008E1AE3">
              <w:t>Low</w:t>
            </w:r>
          </w:p>
        </w:tc>
        <w:tc>
          <w:tcPr>
            <w:tcW w:w="1701" w:type="dxa"/>
          </w:tcPr>
          <w:p w:rsidR="004C6507" w:rsidRPr="008E1AE3" w:rsidP="038C41FA" w14:paraId="4322B86B" w14:textId="77777777">
            <w:pPr>
              <w:spacing w:before="80" w:after="80"/>
            </w:pPr>
            <w:r w:rsidRPr="008E1AE3">
              <w:t>No star</w:t>
            </w:r>
          </w:p>
        </w:tc>
      </w:tr>
      <w:tr w14:paraId="394D98D2" w14:textId="77777777" w:rsidTr="00F2257A">
        <w:tblPrEx>
          <w:tblW w:w="0" w:type="auto"/>
          <w:tblLayout w:type="fixed"/>
          <w:tblLook w:val="04A0"/>
        </w:tblPrEx>
        <w:tc>
          <w:tcPr>
            <w:tcW w:w="1134" w:type="dxa"/>
          </w:tcPr>
          <w:p w:rsidR="004C6507" w:rsidRPr="008E1AE3" w:rsidP="000C6C26" w14:paraId="5B6CCAE5" w14:textId="77777777">
            <w:pPr>
              <w:spacing w:before="80" w:after="80"/>
            </w:pPr>
            <w:r w:rsidRPr="008E1AE3">
              <w:t>1</w:t>
            </w:r>
          </w:p>
        </w:tc>
        <w:tc>
          <w:tcPr>
            <w:tcW w:w="1276" w:type="dxa"/>
          </w:tcPr>
          <w:p w:rsidR="004C6507" w:rsidRPr="008E1AE3" w:rsidP="038C41FA" w14:paraId="77B09FC2" w14:textId="77777777">
            <w:pPr>
              <w:spacing w:before="80" w:after="80"/>
            </w:pPr>
            <w:r w:rsidRPr="008E1AE3">
              <w:t>Low</w:t>
            </w:r>
          </w:p>
        </w:tc>
        <w:tc>
          <w:tcPr>
            <w:tcW w:w="1701" w:type="dxa"/>
          </w:tcPr>
          <w:p w:rsidR="004C6507" w:rsidRPr="008E1AE3" w:rsidP="038C41FA" w14:paraId="4DEDDD3F" w14:textId="77777777">
            <w:pPr>
              <w:spacing w:before="80" w:after="80"/>
            </w:pPr>
            <w:r w:rsidRPr="008E1AE3">
              <w:t>No star</w:t>
            </w:r>
          </w:p>
        </w:tc>
      </w:tr>
      <w:tr w14:paraId="2615D483" w14:textId="77777777" w:rsidTr="00F2257A">
        <w:tblPrEx>
          <w:tblW w:w="0" w:type="auto"/>
          <w:tblLayout w:type="fixed"/>
          <w:tblLook w:val="04A0"/>
        </w:tblPrEx>
        <w:tc>
          <w:tcPr>
            <w:tcW w:w="1134" w:type="dxa"/>
          </w:tcPr>
          <w:p w:rsidR="004C6507" w:rsidRPr="008E1AE3" w:rsidP="000C6C26" w14:paraId="70EC8F72" w14:textId="77777777">
            <w:pPr>
              <w:spacing w:before="80" w:after="80"/>
            </w:pPr>
            <w:r w:rsidRPr="008E1AE3">
              <w:t>2</w:t>
            </w:r>
          </w:p>
        </w:tc>
        <w:tc>
          <w:tcPr>
            <w:tcW w:w="1276" w:type="dxa"/>
          </w:tcPr>
          <w:p w:rsidR="004C6507" w:rsidRPr="008E1AE3" w:rsidP="038C41FA" w14:paraId="3E47FC7A" w14:textId="77777777">
            <w:pPr>
              <w:spacing w:before="80" w:after="80"/>
            </w:pPr>
            <w:r w:rsidRPr="008E1AE3">
              <w:t>Low</w:t>
            </w:r>
          </w:p>
        </w:tc>
        <w:tc>
          <w:tcPr>
            <w:tcW w:w="1701" w:type="dxa"/>
          </w:tcPr>
          <w:p w:rsidR="004C6507" w:rsidRPr="008E1AE3" w:rsidP="038C41FA" w14:paraId="6AADBC18" w14:textId="77777777">
            <w:pPr>
              <w:spacing w:before="80" w:after="80"/>
            </w:pPr>
            <w:r w:rsidRPr="008E1AE3">
              <w:t>No star</w:t>
            </w:r>
          </w:p>
        </w:tc>
      </w:tr>
      <w:tr w14:paraId="0F36E9A3" w14:textId="77777777" w:rsidTr="00F2257A">
        <w:tblPrEx>
          <w:tblW w:w="0" w:type="auto"/>
          <w:tblLayout w:type="fixed"/>
          <w:tblLook w:val="04A0"/>
        </w:tblPrEx>
        <w:tc>
          <w:tcPr>
            <w:tcW w:w="1134" w:type="dxa"/>
          </w:tcPr>
          <w:p w:rsidR="004C6507" w:rsidRPr="008E1AE3" w:rsidP="000C6C26" w14:paraId="2E867FBB" w14:textId="77777777">
            <w:pPr>
              <w:spacing w:before="80" w:after="80"/>
            </w:pPr>
            <w:r w:rsidRPr="008E1AE3">
              <w:t>3</w:t>
            </w:r>
          </w:p>
        </w:tc>
        <w:tc>
          <w:tcPr>
            <w:tcW w:w="1276" w:type="dxa"/>
          </w:tcPr>
          <w:p w:rsidR="004C6507" w:rsidRPr="008E1AE3" w:rsidP="038C41FA" w14:paraId="78DEF01D" w14:textId="77777777">
            <w:pPr>
              <w:spacing w:before="80" w:after="80"/>
            </w:pPr>
            <w:r w:rsidRPr="008E1AE3">
              <w:t>Medium</w:t>
            </w:r>
          </w:p>
        </w:tc>
        <w:tc>
          <w:tcPr>
            <w:tcW w:w="1701" w:type="dxa"/>
          </w:tcPr>
          <w:p w:rsidR="004C6507" w:rsidRPr="008E1AE3" w:rsidP="038C41FA" w14:paraId="1BAE77CE" w14:textId="77777777">
            <w:pPr>
              <w:spacing w:before="80" w:after="80"/>
            </w:pPr>
            <w:r w:rsidRPr="008E1AE3">
              <w:t>No star</w:t>
            </w:r>
          </w:p>
        </w:tc>
      </w:tr>
      <w:tr w14:paraId="342B1E7E" w14:textId="77777777" w:rsidTr="00F2257A">
        <w:tblPrEx>
          <w:tblW w:w="0" w:type="auto"/>
          <w:tblLayout w:type="fixed"/>
          <w:tblLook w:val="04A0"/>
        </w:tblPrEx>
        <w:tc>
          <w:tcPr>
            <w:tcW w:w="1134" w:type="dxa"/>
          </w:tcPr>
          <w:p w:rsidR="004C6507" w:rsidRPr="008E1AE3" w:rsidP="000C6C26" w14:paraId="48ADD6D9" w14:textId="77777777">
            <w:pPr>
              <w:spacing w:before="80" w:after="80"/>
            </w:pPr>
            <w:r w:rsidRPr="008E1AE3">
              <w:t>4</w:t>
            </w:r>
          </w:p>
        </w:tc>
        <w:tc>
          <w:tcPr>
            <w:tcW w:w="1276" w:type="dxa"/>
          </w:tcPr>
          <w:p w:rsidR="004C6507" w:rsidRPr="008E1AE3" w:rsidP="038C41FA" w14:paraId="50182B5B" w14:textId="77777777">
            <w:pPr>
              <w:spacing w:before="80" w:after="80"/>
            </w:pPr>
            <w:r w:rsidRPr="008E1AE3">
              <w:t>Medium</w:t>
            </w:r>
          </w:p>
        </w:tc>
        <w:tc>
          <w:tcPr>
            <w:tcW w:w="1701" w:type="dxa"/>
          </w:tcPr>
          <w:p w:rsidR="004C6507" w:rsidRPr="008E1AE3" w:rsidP="038C41FA" w14:paraId="4A442ACF" w14:textId="77777777">
            <w:pPr>
              <w:spacing w:before="80" w:after="80"/>
            </w:pPr>
            <w:r w:rsidRPr="008E1AE3">
              <w:t>Star</w:t>
            </w:r>
          </w:p>
        </w:tc>
      </w:tr>
      <w:tr w14:paraId="46BB9330" w14:textId="77777777" w:rsidTr="00F2257A">
        <w:tblPrEx>
          <w:tblW w:w="0" w:type="auto"/>
          <w:tblLayout w:type="fixed"/>
          <w:tblLook w:val="04A0"/>
        </w:tblPrEx>
        <w:tc>
          <w:tcPr>
            <w:tcW w:w="1134" w:type="dxa"/>
          </w:tcPr>
          <w:p w:rsidR="004C6507" w:rsidRPr="008E1AE3" w:rsidP="000C6C26" w14:paraId="753D92B3" w14:textId="77777777">
            <w:pPr>
              <w:spacing w:before="80" w:after="80"/>
            </w:pPr>
            <w:r w:rsidRPr="008E1AE3">
              <w:t>5</w:t>
            </w:r>
          </w:p>
        </w:tc>
        <w:tc>
          <w:tcPr>
            <w:tcW w:w="1276" w:type="dxa"/>
          </w:tcPr>
          <w:p w:rsidR="004C6507" w:rsidRPr="008E1AE3" w:rsidP="038C41FA" w14:paraId="5631CF71" w14:textId="77777777">
            <w:pPr>
              <w:spacing w:before="80" w:after="80"/>
            </w:pPr>
            <w:r w:rsidRPr="008E1AE3">
              <w:t>High</w:t>
            </w:r>
          </w:p>
        </w:tc>
        <w:tc>
          <w:tcPr>
            <w:tcW w:w="1701" w:type="dxa"/>
          </w:tcPr>
          <w:p w:rsidR="004C6507" w:rsidRPr="008E1AE3" w:rsidP="038C41FA" w14:paraId="4FF009FA" w14:textId="77777777">
            <w:pPr>
              <w:spacing w:before="80" w:after="80"/>
            </w:pPr>
            <w:r w:rsidRPr="008E1AE3">
              <w:t>Star</w:t>
            </w:r>
          </w:p>
        </w:tc>
      </w:tr>
    </w:tbl>
    <w:p w:rsidR="004C6507" w:rsidRPr="008E1AE3" w:rsidP="00721129" w14:paraId="1B9E2D2D" w14:textId="77777777">
      <w:pPr>
        <w:spacing w:before="360"/>
        <w:rPr>
          <w:b/>
          <w:bCs/>
          <w:sz w:val="24"/>
          <w:szCs w:val="24"/>
        </w:rPr>
      </w:pPr>
      <w:r w:rsidRPr="008E1AE3">
        <w:rPr>
          <w:b/>
          <w:bCs/>
          <w:sz w:val="24"/>
          <w:szCs w:val="24"/>
        </w:rPr>
        <w:t>Evaluating data quality</w:t>
      </w:r>
    </w:p>
    <w:p w:rsidR="004C6507" w:rsidRPr="008E1AE3" w:rsidP="038C41FA" w14:paraId="1E37D936" w14:textId="77777777">
      <w:r w:rsidRPr="008E1AE3">
        <w:t>Quality relates to the data’s ‘fitness for purpose’. Users can make different assessments about the quality of the same data, depending on their ‘purpose’ or the way they plan to use the data.</w:t>
      </w:r>
    </w:p>
    <w:p w:rsidR="004C6507" w:rsidRPr="008E1AE3" w:rsidP="038C41FA" w14:paraId="5F94B97E" w14:textId="77777777">
      <w:r w:rsidRPr="008E1AE3">
        <w:t>The following questions may help you evaluate data quality for your requirements. This list is not exhaustive. Generate your own questions to assess data quality according to your specific needs and environment.</w:t>
      </w:r>
    </w:p>
    <w:p w:rsidR="004C6507" w:rsidRPr="008E1AE3" w:rsidP="038C41FA" w14:paraId="679CFE8C" w14:textId="77777777">
      <w:pPr>
        <w:pStyle w:val="ListBullet"/>
      </w:pPr>
      <w:r w:rsidRPr="008E1AE3">
        <w:t>What was the primary purpose or aim for collecting the data?</w:t>
      </w:r>
    </w:p>
    <w:p w:rsidR="004C6507" w:rsidRPr="008E1AE3" w:rsidP="038C41FA" w14:paraId="0CDE30A8" w14:textId="77777777">
      <w:pPr>
        <w:pStyle w:val="ListBullet"/>
      </w:pPr>
      <w:r w:rsidRPr="008E1AE3">
        <w:t>How well does the coverage (and exclusions) match your needs?</w:t>
      </w:r>
    </w:p>
    <w:p w:rsidR="004C6507" w:rsidRPr="008E1AE3" w:rsidP="038C41FA" w14:paraId="42FD50CF" w14:textId="77777777">
      <w:pPr>
        <w:pStyle w:val="ListBullet"/>
      </w:pPr>
      <w:r w:rsidRPr="008E1AE3">
        <w:t>How useful is this data at small levels of geography?</w:t>
      </w:r>
    </w:p>
    <w:p w:rsidR="004C6507" w:rsidRPr="008E1AE3" w:rsidP="038C41FA" w14:paraId="0B11DC62" w14:textId="77777777">
      <w:pPr>
        <w:pStyle w:val="ListBullet"/>
      </w:pPr>
      <w:r w:rsidRPr="008E1AE3">
        <w:t>Does the population presented by the data match your needs?</w:t>
      </w:r>
    </w:p>
    <w:p w:rsidR="004C6507" w:rsidRPr="008E1AE3" w:rsidP="038C41FA" w14:paraId="47406482" w14:textId="77777777">
      <w:pPr>
        <w:pStyle w:val="ListBullet"/>
      </w:pPr>
      <w:r w:rsidRPr="008E1AE3">
        <w:t>To what extent does the method of data collection seem appropriate for the information being gathered?</w:t>
      </w:r>
    </w:p>
    <w:p w:rsidR="004C6507" w:rsidRPr="008E1AE3" w:rsidP="038C41FA" w14:paraId="0C5C9EF4" w14:textId="77777777">
      <w:pPr>
        <w:pStyle w:val="ListBullet"/>
      </w:pPr>
      <w:r w:rsidRPr="008E1AE3">
        <w:t>Have standard classifications (e.g. industry or occupation classifications) been used in the collection of the data? If not, why? Does this affect the ability to compare or bring together data from different sources?</w:t>
      </w:r>
    </w:p>
    <w:p w:rsidR="004C6507" w:rsidRPr="008E1AE3" w:rsidP="038C41FA" w14:paraId="584AB44E" w14:textId="77777777">
      <w:pPr>
        <w:pStyle w:val="ListBullet"/>
      </w:pPr>
      <w:r w:rsidRPr="008E1AE3">
        <w:t>Have rates and percentages been calculated consistently throughout the data?</w:t>
      </w:r>
    </w:p>
    <w:p w:rsidR="004C6507" w:rsidRPr="008E1AE3" w:rsidP="038C41FA" w14:paraId="44F400FB" w14:textId="77777777">
      <w:pPr>
        <w:pStyle w:val="ListBullet"/>
      </w:pPr>
      <w:r w:rsidRPr="008E1AE3">
        <w:t>Is there a time difference between your reference period, and the reference period of the data?</w:t>
      </w:r>
    </w:p>
    <w:p w:rsidR="004C6507" w:rsidRPr="008E1AE3" w:rsidP="038C41FA" w14:paraId="5FD6858F" w14:textId="77777777">
      <w:pPr>
        <w:pStyle w:val="ListBullet"/>
      </w:pPr>
      <w:r w:rsidRPr="008E1AE3">
        <w:t>What is the gap of time between the reference period (when the data was collected) and the release date of the data?</w:t>
      </w:r>
    </w:p>
    <w:p w:rsidR="004C6507" w:rsidRPr="008E1AE3" w:rsidP="038C41FA" w14:paraId="43CE99C3" w14:textId="77777777">
      <w:pPr>
        <w:pStyle w:val="ListBullet"/>
      </w:pPr>
      <w:r w:rsidRPr="008E1AE3">
        <w:t>Will there be subsequent surveys or data collection exercises for this topic?</w:t>
      </w:r>
    </w:p>
    <w:p w:rsidR="00305CDE" w:rsidRPr="008E1AE3" w:rsidP="000C6C26" w14:paraId="42E382A1" w14:textId="3F969FD4">
      <w:pPr>
        <w:pStyle w:val="ListBullet"/>
      </w:pPr>
      <w:r w:rsidRPr="008E1AE3">
        <w:t>Are there likely to be updates or revisions to the data after official release?</w:t>
      </w:r>
    </w:p>
    <w:p w:rsidR="00E80F65" w:rsidRPr="008E1AE3" w:rsidP="00326FD9" w14:paraId="166E5E82" w14:textId="4142545E">
      <w:pPr>
        <w:pStyle w:val="ListBullet"/>
        <w:sectPr w:rsidSect="00CE0E8B">
          <w:headerReference w:type="default" r:id="rId62"/>
          <w:footerReference w:type="even" r:id="rId63"/>
          <w:footerReference w:type="default" r:id="rId64"/>
          <w:type w:val="continuous"/>
          <w:pgSz w:w="11906" w:h="16838"/>
          <w:pgMar w:top="1134" w:right="1134" w:bottom="1134" w:left="1134" w:header="709" w:footer="454" w:gutter="0"/>
          <w:cols w:space="708"/>
          <w:docGrid w:linePitch="360"/>
        </w:sectPr>
      </w:pPr>
      <w:bookmarkEnd w:id="415"/>
      <w:bookmarkEnd w:id="416"/>
      <w:bookmarkEnd w:id="417"/>
      <w:bookmarkEnd w:id="418"/>
    </w:p>
    <w:p w:rsidR="00947D4A" w:rsidRPr="008E1AE3" w:rsidP="00D264DB" w14:paraId="3EE10269" w14:textId="77777777">
      <w:pPr>
        <w:pStyle w:val="Disclaimer"/>
        <w:spacing w:before="0"/>
        <w:rPr>
          <w:lang w:val="en-AU"/>
        </w:rPr>
      </w:pPr>
      <w:r w:rsidRPr="008E1AE3">
        <w:rPr>
          <w:lang w:val="en-AU"/>
        </w:rPr>
        <w:t>Disclaimer</w:t>
      </w:r>
    </w:p>
    <w:p w:rsidR="00947D4A" w:rsidRPr="008E1AE3" w:rsidP="00544277" w14:paraId="59265514" w14:textId="44A99189">
      <w:pPr>
        <w:pStyle w:val="Disclaimer"/>
        <w:rPr>
          <w:lang w:val="en-AU"/>
        </w:rPr>
      </w:pPr>
      <w:r w:rsidRPr="008E1AE3">
        <w:rPr>
          <w:lang w:val="en-AU"/>
        </w:rPr>
        <w:t xml:space="preserve">This publication may contain information that relates to the regulation of workers compensation insurance, motor accident third party (CTP) insurance and home building compensation in NSW. It may include details of some of your obligations under the various schemes that the State Insurance Regulatory Authority (SIRA) administers. </w:t>
      </w:r>
    </w:p>
    <w:p w:rsidR="00947D4A" w:rsidRPr="008E1AE3" w:rsidP="00544277" w14:paraId="2E9ABF6D" w14:textId="77777777">
      <w:pPr>
        <w:pStyle w:val="Disclaimer"/>
        <w:rPr>
          <w:lang w:val="en-AU"/>
        </w:rPr>
      </w:pPr>
      <w:r w:rsidRPr="008E1AE3">
        <w:rPr>
          <w:lang w:val="en-AU"/>
        </w:rPr>
        <w:t>However to ensure you comply with your legal obligations you must refer to the appropriate legislation as currently in force. Up to date legislation can be found at the NSW Legislation website legislation.nsw.gov.au</w:t>
      </w:r>
    </w:p>
    <w:p w:rsidR="00947D4A" w:rsidRPr="008E1AE3" w:rsidP="00544277" w14:paraId="01AE864D" w14:textId="77777777">
      <w:pPr>
        <w:pStyle w:val="Disclaimer"/>
        <w:rPr>
          <w:lang w:val="en-AU"/>
        </w:rPr>
      </w:pPr>
      <w:r w:rsidRPr="008E1AE3">
        <w:rPr>
          <w:lang w:val="en-AU"/>
        </w:rPr>
        <w:t xml:space="preserve">This publication does not represent a comprehensive statement of the law as it applies to particular problems or to individuals, or as a substitute for legal advice. You should seek independent legal advice if you need assistance on the application of the law to your situation. </w:t>
      </w:r>
    </w:p>
    <w:p w:rsidR="00947D4A" w:rsidRPr="008E1AE3" w:rsidP="00544277" w14:paraId="1F62F950" w14:textId="77777777">
      <w:pPr>
        <w:pStyle w:val="Disclaimer"/>
        <w:rPr>
          <w:lang w:val="en-AU"/>
        </w:rPr>
      </w:pPr>
      <w:r w:rsidRPr="008E1AE3">
        <w:rPr>
          <w:lang w:val="en-AU"/>
        </w:rPr>
        <w:t xml:space="preserve">This material may be displayed, printed and reproduced without amendment for personal, in-house or </w:t>
      </w:r>
      <w:r w:rsidRPr="008E1AE3">
        <w:rPr>
          <w:lang w:val="en-AU"/>
        </w:rPr>
        <w:br/>
        <w:t xml:space="preserve">non-commercial use. </w:t>
      </w:r>
    </w:p>
    <w:p w:rsidR="00947D4A" w:rsidRPr="008D67F8" w:rsidP="00544277" w14:paraId="33033487" w14:textId="64C5F426">
      <w:pPr>
        <w:pStyle w:val="Disclaimer"/>
        <w:rPr>
          <w:lang w:val="en-AU"/>
        </w:rPr>
      </w:pPr>
      <w:r w:rsidRPr="00D264DB">
        <w:rPr>
          <w:lang w:val="en-AU"/>
        </w:rPr>
        <w:t xml:space="preserve">Workers and Home Building Compensation </w:t>
      </w:r>
      <w:r w:rsidRPr="00D264DB" w:rsidR="00DC66C2">
        <w:rPr>
          <w:lang w:val="en-AU"/>
        </w:rPr>
        <w:t xml:space="preserve">Regulation, </w:t>
      </w:r>
      <w:r w:rsidR="008D67F8">
        <w:rPr>
          <w:lang w:val="en-AU"/>
        </w:rPr>
        <w:t>92-100 Donnison Street, Gosford, NSW 2250</w:t>
      </w:r>
    </w:p>
    <w:p w:rsidR="001825E2" w:rsidRPr="008E1AE3" w:rsidP="001825E2" w14:paraId="1D02EDF2" w14:textId="42AFB3CD">
      <w:pPr>
        <w:pStyle w:val="Disclaimer"/>
        <w:rPr>
          <w:lang w:val="en-AU"/>
        </w:rPr>
      </w:pPr>
      <w:r w:rsidRPr="00D264DB">
        <w:rPr>
          <w:lang w:val="en-AU"/>
        </w:rPr>
        <w:t>13 10 50</w:t>
      </w:r>
    </w:p>
    <w:p w:rsidR="00947D4A" w:rsidRPr="008E1AE3" w:rsidP="00544277" w14:paraId="146F1AA8" w14:textId="77777777">
      <w:pPr>
        <w:pStyle w:val="Disclaimer"/>
        <w:rPr>
          <w:lang w:val="en-AU"/>
        </w:rPr>
      </w:pPr>
      <w:r w:rsidRPr="008D67F8">
        <w:rPr>
          <w:lang w:val="en-AU"/>
        </w:rPr>
        <w:t>Website www.sira.nsw.gov.au</w:t>
      </w:r>
    </w:p>
    <w:p w:rsidR="008F778A" w:rsidRPr="008E1AE3" w:rsidP="00947D4A" w14:paraId="055E6C49" w14:textId="0DBDBF81">
      <w:pPr>
        <w:pStyle w:val="DisclaimerBoldMasterPages"/>
        <w:rPr>
          <w:lang w:val="en-AU"/>
        </w:rPr>
      </w:pPr>
      <w:r w:rsidRPr="00D264DB">
        <w:rPr>
          <w:rFonts w:cs="Gotham-Light"/>
          <w:u w:color="00AFFF"/>
          <w:lang w:val="en-AU"/>
        </w:rPr>
        <w:t>Catalogue no. SIRA0</w:t>
      </w:r>
      <w:r w:rsidRPr="00D264DB" w:rsidR="00EF6348">
        <w:rPr>
          <w:rFonts w:cs="Gotham-Light"/>
          <w:u w:color="00AFFF"/>
          <w:lang w:val="en-AU"/>
        </w:rPr>
        <w:t>9021</w:t>
      </w:r>
      <w:r w:rsidRPr="008E1AE3">
        <w:rPr>
          <w:lang w:val="en-AU"/>
        </w:rPr>
        <w:t xml:space="preserve">  |  </w:t>
      </w:r>
      <w:r w:rsidRPr="008E1AE3" w:rsidR="00947D4A">
        <w:rPr>
          <w:lang w:val="en-AU"/>
        </w:rPr>
        <w:t xml:space="preserve">© State Insurance Regulatory Authority NSW </w:t>
      </w:r>
      <w:r w:rsidRPr="00D264DB" w:rsidR="004937AA">
        <w:rPr>
          <w:lang w:val="en-AU"/>
        </w:rPr>
        <w:t>0</w:t>
      </w:r>
      <w:r w:rsidR="008D67F8">
        <w:rPr>
          <w:lang w:val="en-AU"/>
        </w:rPr>
        <w:t>519</w:t>
      </w:r>
    </w:p>
    <w:sectPr w:rsidSect="00D264DB">
      <w:headerReference w:type="even" r:id="rId65"/>
      <w:headerReference w:type="default" r:id="rId66"/>
      <w:footerReference w:type="even" r:id="rId67"/>
      <w:footerReference w:type="default" r:id="rId68"/>
      <w:pgSz w:w="11906" w:h="16838"/>
      <w:pgMar w:top="10915" w:right="1134" w:bottom="1135" w:left="1134" w:header="709" w:footer="814"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otham Book">
    <w:altName w:val="Calibri"/>
    <w:panose1 w:val="00000000000000000000"/>
    <w:charset w:val="00"/>
    <w:family w:val="modern"/>
    <w:notTrueType/>
    <w:pitch w:val="variable"/>
    <w:sig w:usb0="00000087" w:usb1="00000000" w:usb2="00000000" w:usb3="00000000" w:csb0="0000000B" w:csb1="00000000"/>
  </w:font>
  <w:font w:name="Clarendon Lt BT">
    <w:altName w:val="Cambria"/>
    <w:charset w:val="00"/>
    <w:family w:val="roman"/>
    <w:pitch w:val="variable"/>
    <w:sig w:usb0="800000AF" w:usb1="1000204A" w:usb2="00000000" w:usb3="00000000" w:csb0="0000001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otham Light">
    <w:panose1 w:val="00000000000000000000"/>
    <w:charset w:val="00"/>
    <w:family w:val="modern"/>
    <w:notTrueType/>
    <w:pitch w:val="variable"/>
    <w:sig w:usb0="A00000FF" w:usb1="4000004A" w:usb2="00000000" w:usb3="00000000" w:csb0="0000000B" w:csb1="00000000"/>
  </w:font>
  <w:font w:name="Gotham-Light">
    <w:altName w:val="Calibri"/>
    <w:panose1 w:val="00000000000000000000"/>
    <w:charset w:val="4D"/>
    <w:family w:val="auto"/>
    <w:notTrueType/>
    <w:pitch w:val="default"/>
    <w:sig w:usb0="00000003" w:usb1="00000000" w:usb2="00000000" w:usb3="00000000" w:csb0="00000001" w:csb1="00000000"/>
  </w:font>
  <w:font w:name="Gotham-Book">
    <w:charset w:val="00"/>
    <w:family w:val="auto"/>
    <w:pitch w:val="variable"/>
    <w:sig w:usb0="00000003" w:usb1="00000000" w:usb2="00000000" w:usb3="00000000" w:csb0="00000001" w:csb1="00000000"/>
  </w:font>
  <w:font w:name="Clarendon BT">
    <w:altName w:val="Cambria"/>
    <w:charset w:val="00"/>
    <w:family w:val="roman"/>
    <w:pitch w:val="variable"/>
    <w:sig w:usb0="800000AF" w:usb1="1000204A" w:usb2="00000000" w:usb3="00000000" w:csb0="00000011" w:csb1="00000000"/>
  </w:font>
  <w:font w:name="Gotham Medium">
    <w:altName w:val="Calibri"/>
    <w:panose1 w:val="00000000000000000000"/>
    <w:charset w:val="00"/>
    <w:family w:val="modern"/>
    <w:notTrueType/>
    <w:pitch w:val="variable"/>
    <w:sig w:usb0="00000087" w:usb1="00000000" w:usb2="00000000" w:usb3="00000000" w:csb0="0000000B"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D1601" w:rsidRPr="000A7EE6" w:rsidP="008F778A" w14:paraId="7B22FE63" w14:textId="19F7C6FF">
    <w:pPr>
      <w:tabs>
        <w:tab w:val="left" w:pos="1134"/>
      </w:tabs>
      <w:spacing w:after="0" w:line="240" w:lineRule="auto"/>
      <w:rPr>
        <w:sz w:val="16"/>
        <w:szCs w:val="16"/>
      </w:rPr>
    </w:pPr>
    <w:r>
      <w:rPr>
        <w:sz w:val="16"/>
        <w:szCs w:val="16"/>
      </w:rPr>
      <w:tab/>
    </w:r>
    <w:r w:rsidRPr="001F42FD">
      <w:rPr>
        <w:sz w:val="16"/>
        <w:szCs w:val="16"/>
      </w:rPr>
      <w:fldChar w:fldCharType="begin"/>
    </w:r>
    <w:r w:rsidRPr="001F42FD">
      <w:rPr>
        <w:sz w:val="16"/>
        <w:szCs w:val="16"/>
      </w:rPr>
      <w:instrText xml:space="preserve"> PAGE   \* MERGEFORMAT </w:instrText>
    </w:r>
    <w:r w:rsidRPr="001F42FD">
      <w:rPr>
        <w:sz w:val="16"/>
        <w:szCs w:val="16"/>
      </w:rPr>
      <w:fldChar w:fldCharType="separate"/>
    </w:r>
    <w:r>
      <w:rPr>
        <w:noProof/>
        <w:sz w:val="16"/>
        <w:szCs w:val="16"/>
      </w:rPr>
      <w:t>68</w:t>
    </w:r>
    <w:r w:rsidRPr="001F42FD">
      <w:rPr>
        <w:noProof/>
        <w:sz w:val="16"/>
        <w:szCs w:val="16"/>
      </w:rPr>
      <w:fldChar w:fldCharType="end"/>
    </w:r>
    <w:r>
      <w:rPr>
        <w:noProof/>
        <w:sz w:val="16"/>
        <w:szCs w:val="16"/>
      </w:rPr>
      <w:t xml:space="preserve">  </w:t>
    </w:r>
    <w:r w:rsidRPr="001F42FD">
      <w:rPr>
        <w:sz w:val="16"/>
        <w:szCs w:val="16"/>
      </w:rPr>
      <w:t>DOCUMENT TITLE</w:t>
    </w:r>
    <w:r>
      <w:rPr>
        <w:noProof/>
        <w:sz w:val="16"/>
        <w:szCs w:val="16"/>
        <w:lang w:eastAsia="zh-CN"/>
      </w:rPr>
      <w:drawing>
        <wp:anchor distT="0" distB="0" distL="0" distR="0" simplePos="0" relativeHeight="251664384" behindDoc="1" locked="1" layoutInCell="1" allowOverlap="0">
          <wp:simplePos x="0" y="0"/>
          <wp:positionH relativeFrom="column">
            <wp:posOffset>-788670</wp:posOffset>
          </wp:positionH>
          <wp:positionV relativeFrom="paragraph">
            <wp:posOffset>-316865</wp:posOffset>
          </wp:positionV>
          <wp:extent cx="7556400" cy="486000"/>
          <wp:effectExtent l="0" t="0" r="0" b="9525"/>
          <wp:wrapNone/>
          <wp:docPr id="12" name="Picture 1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625465" name="graphic line2.jp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56400" cy="4860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D1601" w:rsidRPr="008F778A" w:rsidP="006977B6" w14:paraId="691AF7D0" w14:textId="126F07D5">
    <w:pPr>
      <w:spacing w:after="0" w:line="240" w:lineRule="auto"/>
      <w:rPr>
        <w:sz w:val="16"/>
        <w:szCs w:val="16"/>
      </w:rPr>
    </w:pPr>
    <w:sdt>
      <w:sdtPr>
        <w:rPr>
          <w:sz w:val="16"/>
          <w:szCs w:val="16"/>
        </w:rPr>
        <w:id w:val="29077918"/>
        <w:docPartObj>
          <w:docPartGallery w:val="Page Numbers (Bottom of Page)"/>
          <w:docPartUnique/>
        </w:docPartObj>
      </w:sdtPr>
      <w:sdtEndPr>
        <w:rPr>
          <w:noProof/>
        </w:rPr>
      </w:sdtEndPr>
      <w:sdtContent>
        <w:r w:rsidRPr="00170C97">
          <w:rPr>
            <w:sz w:val="16"/>
            <w:szCs w:val="16"/>
          </w:rPr>
          <w:fldChar w:fldCharType="begin"/>
        </w:r>
        <w:r w:rsidRPr="00170C97">
          <w:rPr>
            <w:sz w:val="16"/>
            <w:szCs w:val="16"/>
          </w:rPr>
          <w:instrText xml:space="preserve"> PAGE   \* MERGEFORMAT </w:instrText>
        </w:r>
        <w:r w:rsidRPr="00170C97">
          <w:rPr>
            <w:sz w:val="16"/>
            <w:szCs w:val="16"/>
          </w:rPr>
          <w:fldChar w:fldCharType="separate"/>
        </w:r>
        <w:r>
          <w:rPr>
            <w:noProof/>
            <w:sz w:val="16"/>
            <w:szCs w:val="16"/>
          </w:rPr>
          <w:t>30</w:t>
        </w:r>
        <w:r w:rsidRPr="00170C97">
          <w:rPr>
            <w:noProof/>
            <w:sz w:val="16"/>
            <w:szCs w:val="16"/>
          </w:rPr>
          <w:fldChar w:fldCharType="end"/>
        </w:r>
      </w:sdtContent>
    </w:sdt>
    <w:r w:rsidRPr="00170C97">
      <w:rPr>
        <w:rFonts w:cs="Arial"/>
        <w:sz w:val="16"/>
        <w:szCs w:val="16"/>
      </w:rPr>
      <w:t xml:space="preserve"> </w:t>
    </w:r>
    <w:r>
      <w:rPr>
        <w:sz w:val="16"/>
        <w:szCs w:val="16"/>
      </w:rPr>
      <w:t xml:space="preserve">Home building compensation scheme report </w:t>
    </w:r>
    <w:r w:rsidRPr="00382411">
      <w:rPr>
        <w:sz w:val="16"/>
        <w:szCs w:val="16"/>
      </w:rPr>
      <w:t>– June 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D1601" w:rsidRPr="00796977" w:rsidP="00796977" w14:paraId="06C9D1B7" w14:textId="2E077488">
    <w:pPr>
      <w:pStyle w:val="Footer"/>
      <w:tabs>
        <w:tab w:val="clear" w:pos="4513"/>
        <w:tab w:val="clear" w:pos="9026"/>
        <w:tab w:val="right" w:pos="9639"/>
      </w:tabs>
      <w:ind w:firstLine="5040"/>
      <w:rPr>
        <w:sz w:val="16"/>
        <w:szCs w:val="16"/>
      </w:rPr>
    </w:pPr>
    <w:r>
      <w:rPr>
        <w:noProof/>
        <w:lang w:eastAsia="en-AU"/>
      </w:rPr>
      <w:tab/>
    </w:r>
    <w:r w:rsidRPr="00170C97">
      <w:rPr>
        <w:rFonts w:cs="Arial"/>
        <w:sz w:val="16"/>
        <w:szCs w:val="16"/>
      </w:rPr>
      <w:t>State Insurance Regulatory Authority</w:t>
    </w:r>
    <w:r>
      <w:rPr>
        <w:sz w:val="16"/>
        <w:szCs w:val="16"/>
      </w:rPr>
      <w:t xml:space="preserve"> </w:t>
    </w:r>
    <w:sdt>
      <w:sdtPr>
        <w:rPr>
          <w:sz w:val="16"/>
          <w:szCs w:val="16"/>
        </w:rPr>
        <w:id w:val="338659734"/>
        <w:docPartObj>
          <w:docPartGallery w:val="Page Numbers (Bottom of Page)"/>
          <w:docPartUnique/>
        </w:docPartObj>
      </w:sdtPr>
      <w:sdtEndPr>
        <w:rPr>
          <w:noProof/>
        </w:rPr>
      </w:sdtEndPr>
      <w:sdtContent>
        <w:sdt>
          <w:sdtPr>
            <w:rPr>
              <w:sz w:val="16"/>
              <w:szCs w:val="16"/>
            </w:rPr>
            <w:id w:val="-1829427385"/>
            <w:docPartObj>
              <w:docPartGallery w:val="Page Numbers (Bottom of Page)"/>
              <w:docPartUnique/>
            </w:docPartObj>
          </w:sdtPr>
          <w:sdtEndPr>
            <w:rPr>
              <w:noProof/>
            </w:rPr>
          </w:sdtEndPr>
          <w:sdtContent>
            <w:r w:rsidRPr="00170C97">
              <w:rPr>
                <w:sz w:val="16"/>
                <w:szCs w:val="16"/>
              </w:rPr>
              <w:fldChar w:fldCharType="begin"/>
            </w:r>
            <w:r w:rsidRPr="00170C97">
              <w:rPr>
                <w:sz w:val="16"/>
                <w:szCs w:val="16"/>
              </w:rPr>
              <w:instrText xml:space="preserve"> PAGE   \* MERGEFORMAT </w:instrText>
            </w:r>
            <w:r w:rsidRPr="00170C97">
              <w:rPr>
                <w:sz w:val="16"/>
                <w:szCs w:val="16"/>
              </w:rPr>
              <w:fldChar w:fldCharType="separate"/>
            </w:r>
            <w:r>
              <w:rPr>
                <w:noProof/>
                <w:sz w:val="16"/>
                <w:szCs w:val="16"/>
              </w:rPr>
              <w:t>29</w:t>
            </w:r>
            <w:r w:rsidRPr="00170C97">
              <w:rPr>
                <w:noProof/>
                <w:sz w:val="16"/>
                <w:szCs w:val="16"/>
              </w:rPr>
              <w:fldChar w:fldCharType="end"/>
            </w:r>
          </w:sdtContent>
        </w:sdt>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D1601" w:rsidRPr="002507AF" w:rsidP="002507AF" w14:paraId="2E7EEC13" w14:textId="777777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D1601" w:rsidRPr="00170C97" w:rsidP="004C0FF9" w14:paraId="0E040282" w14:textId="77777777">
    <w:pPr>
      <w:pStyle w:val="DisclaimerBoldMasterPages"/>
    </w:pPr>
    <w:r>
      <w:rPr>
        <w:noProof/>
        <w:lang w:val="en-AU" w:eastAsia="zh-CN"/>
      </w:rPr>
      <mc:AlternateContent>
        <mc:Choice Requires="wps">
          <w:drawing>
            <wp:anchor distT="0" distB="0" distL="114300" distR="114300" simplePos="0" relativeHeight="251662336" behindDoc="1" locked="1" layoutInCell="1" allowOverlap="1">
              <wp:simplePos x="0" y="0"/>
              <wp:positionH relativeFrom="page">
                <wp:posOffset>0</wp:posOffset>
              </wp:positionH>
              <wp:positionV relativeFrom="page">
                <wp:posOffset>5715</wp:posOffset>
              </wp:positionV>
              <wp:extent cx="7613650" cy="10691495"/>
              <wp:effectExtent l="0" t="0" r="6350" b="0"/>
              <wp:wrapNone/>
              <wp:docPr id="1" name="Rectangle 1" descr="Decorative" title="Decorative"/>
              <wp:cNvGraphicFramePr/>
              <a:graphic xmlns:a="http://schemas.openxmlformats.org/drawingml/2006/main">
                <a:graphicData uri="http://schemas.microsoft.com/office/word/2010/wordprocessingShape">
                  <wps:wsp xmlns:wps="http://schemas.microsoft.com/office/word/2010/wordprocessingShape">
                    <wps:cNvSpPr/>
                    <wps:spPr>
                      <a:xfrm>
                        <a:off x="0" y="0"/>
                        <a:ext cx="7613650" cy="10691495"/>
                      </a:xfrm>
                      <a:prstGeom prst="rect">
                        <a:avLst/>
                      </a:prstGeom>
                      <a:blipFill>
                        <a:blip xmlns:r="http://schemas.openxmlformats.org/officeDocument/2006/relationships" r:embed="rId1"/>
                        <a:stretch>
                          <a:fillRect/>
                        </a:stretch>
                      </a:blipFill>
                      <a:ln w="25400">
                        <a:no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 o:spid="_x0000_s2054" alt="Title: Decorative - Description: Decorative" style="width:599.5pt;height:841.85pt;margin-top:0.45pt;margin-left:0;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3120" stroked="f" strokeweight="2pt">
              <v:fill r:id="rId1" o:title="Decorative" recolor="t" rotate="t" type="frame"/>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6D1601" w:rsidP="008F778A" w14:paraId="629F89B2" w14:textId="77777777">
      <w:pPr>
        <w:spacing w:after="0" w:line="240" w:lineRule="auto"/>
      </w:pPr>
      <w:r>
        <w:separator/>
      </w:r>
    </w:p>
  </w:footnote>
  <w:footnote w:type="continuationSeparator" w:id="1">
    <w:p w:rsidR="006D1601" w:rsidP="008F778A" w14:paraId="493F7210" w14:textId="77777777">
      <w:pPr>
        <w:spacing w:after="0" w:line="240" w:lineRule="auto"/>
      </w:pPr>
      <w:r>
        <w:continuationSeparator/>
      </w:r>
    </w:p>
  </w:footnote>
  <w:footnote w:type="continuationNotice" w:id="2">
    <w:p w:rsidR="006D1601" w14:paraId="1C5D2DD3" w14:textId="77777777">
      <w:pPr>
        <w:spacing w:before="0" w:after="0" w:line="240" w:lineRule="auto"/>
      </w:pPr>
    </w:p>
  </w:footnote>
  <w:footnote w:id="3">
    <w:p w:rsidR="006D1601" w:rsidRPr="00645A8D" w:rsidP="00645A8D" w14:paraId="0D6443E2" w14:textId="54A364B0">
      <w:pPr>
        <w:pStyle w:val="ListParagraph"/>
        <w:spacing w:before="0" w:after="0"/>
        <w:ind w:left="0"/>
        <w:rPr>
          <w:sz w:val="20"/>
          <w:szCs w:val="20"/>
        </w:rPr>
      </w:pPr>
      <w:r w:rsidRPr="00645A8D">
        <w:rPr>
          <w:rStyle w:val="FootnoteReference"/>
          <w:sz w:val="20"/>
          <w:szCs w:val="20"/>
        </w:rPr>
        <w:footnoteRef/>
      </w:r>
      <w:r w:rsidRPr="00645A8D">
        <w:rPr>
          <w:sz w:val="20"/>
          <w:szCs w:val="20"/>
        </w:rPr>
        <w:t xml:space="preserve"> </w:t>
      </w:r>
      <w:r w:rsidRPr="00645A8D">
        <w:rPr>
          <w:rStyle w:val="FootnoteReference"/>
          <w:sz w:val="20"/>
          <w:szCs w:val="20"/>
        </w:rPr>
        <w:t xml:space="preserve">This table excludes a relatively small number of certificates without policy number issued from 2011/12 to 2015/16 prior to the commencement of icare </w:t>
      </w:r>
      <w:r>
        <w:rPr>
          <w:rStyle w:val="FootnoteReference"/>
          <w:sz w:val="20"/>
          <w:szCs w:val="20"/>
        </w:rPr>
        <w:t>HBCF</w:t>
      </w:r>
      <w:r w:rsidRPr="00645A8D">
        <w:rPr>
          <w:rStyle w:val="FootnoteReference"/>
          <w:sz w:val="20"/>
          <w:szCs w:val="20"/>
        </w:rPr>
        <w:t>’s Claims and Insurance Management System (CIMS).</w:t>
      </w:r>
    </w:p>
  </w:footnote>
  <w:footnote w:id="4">
    <w:p w:rsidR="006D1601" w:rsidRPr="00645A8D" w:rsidP="00645A8D" w14:paraId="200A63DD" w14:textId="15623B33">
      <w:pPr>
        <w:pStyle w:val="FootnoteText"/>
        <w:rPr>
          <w:sz w:val="20"/>
        </w:rPr>
      </w:pPr>
      <w:r w:rsidRPr="00645A8D">
        <w:rPr>
          <w:rStyle w:val="FootnoteReference"/>
          <w:sz w:val="20"/>
        </w:rPr>
        <w:footnoteRef/>
      </w:r>
      <w:r w:rsidRPr="00645A8D">
        <w:rPr>
          <w:sz w:val="20"/>
        </w:rPr>
        <w:t xml:space="preserve"> </w:t>
      </w:r>
      <w:r w:rsidRPr="00645A8D">
        <w:rPr>
          <w:rStyle w:val="FootnoteReference"/>
          <w:sz w:val="20"/>
        </w:rPr>
        <w:t xml:space="preserve">Alterations relate to works which are mostly structural, whereas renovations relate to works which are mostly non-structural. Both alterations and renovations </w:t>
      </w:r>
      <w:r>
        <w:rPr>
          <w:rStyle w:val="FootnoteReference"/>
          <w:sz w:val="20"/>
        </w:rPr>
        <w:t>construction type</w:t>
      </w:r>
      <w:r w:rsidRPr="00645A8D">
        <w:rPr>
          <w:rStyle w:val="FootnoteReference"/>
          <w:sz w:val="20"/>
        </w:rPr>
        <w:t>s include works on single or multiple dwellings or duplexes /triplexes</w:t>
      </w:r>
    </w:p>
  </w:footnote>
  <w:footnote w:id="5">
    <w:p w:rsidR="006D1601" w:rsidP="00645A8D" w14:paraId="361B53CB" w14:textId="33CD60BE">
      <w:pPr>
        <w:pStyle w:val="FootnoteText"/>
      </w:pPr>
      <w:r w:rsidRPr="00645A8D">
        <w:rPr>
          <w:rStyle w:val="FootnoteReference"/>
          <w:sz w:val="20"/>
        </w:rPr>
        <w:footnoteRef/>
      </w:r>
      <w:r w:rsidRPr="00645A8D">
        <w:rPr>
          <w:sz w:val="20"/>
        </w:rPr>
        <w:t xml:space="preserve"> </w:t>
      </w:r>
      <w:r w:rsidRPr="00645A8D">
        <w:rPr>
          <w:rStyle w:val="FootnoteReference"/>
          <w:sz w:val="20"/>
        </w:rPr>
        <w:t>‘New duplex, triplex’ is combined with ‘New multiple dwellings’ until it commenced under its own category from 2014/15</w:t>
      </w:r>
    </w:p>
  </w:footnote>
  <w:footnote w:id="6">
    <w:p w:rsidR="006D1601" w:rsidP="005B6E96" w14:paraId="12F49385" w14:textId="2094E7DC">
      <w:pPr>
        <w:pStyle w:val="Disclaimer"/>
      </w:pPr>
      <w:r>
        <w:rPr>
          <w:rStyle w:val="FootnoteReference"/>
        </w:rPr>
        <w:footnoteRef/>
      </w:r>
      <w:r w:rsidRPr="42DABC82">
        <w:t xml:space="preserve"> </w:t>
      </w:r>
      <w:r w:rsidRPr="001A26B7">
        <w:rPr>
          <w:rStyle w:val="FootnoteReference"/>
        </w:rPr>
        <w:t xml:space="preserve">Source of ABS building approvals: ABS8731.0 Building Approvals, Australia; Tables 12, 22 and 43 </w:t>
      </w:r>
      <w:r w:rsidRPr="00E1445E">
        <w:rPr>
          <w:rStyle w:val="FootnoteReference"/>
        </w:rPr>
        <w:t>‘</w:t>
      </w:r>
      <w:r w:rsidRPr="001A26B7">
        <w:rPr>
          <w:rStyle w:val="FootnoteReference"/>
        </w:rPr>
        <w:t>Dwelling units approved in new residential build</w:t>
      </w:r>
      <w:r w:rsidRPr="0076778D">
        <w:rPr>
          <w:rStyle w:val="FootnoteReference"/>
        </w:rPr>
        <w:t>ings - New South Wales</w:t>
      </w:r>
      <w:r w:rsidRPr="00E1445E">
        <w:rPr>
          <w:rStyle w:val="FootnoteReference"/>
        </w:rPr>
        <w:t>’</w:t>
      </w:r>
      <w:r w:rsidRPr="001A26B7">
        <w:rPr>
          <w:rStyle w:val="FootnoteReference"/>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D1601" w:rsidP="00892E26" w14:paraId="31B4AA36" w14:textId="6BB479BA">
    <w:pPr>
      <w:pStyle w:val="Header"/>
    </w:pPr>
    <w:r>
      <w:rPr>
        <w:noProof/>
        <w:lang w:eastAsia="zh-CN"/>
      </w:rPr>
      <mc:AlternateContent>
        <mc:Choice Requires="wpg">
          <w:drawing>
            <wp:anchor distT="0" distB="0" distL="114300" distR="114300" simplePos="0" relativeHeight="251658240" behindDoc="1" locked="0" layoutInCell="1" allowOverlap="1">
              <wp:simplePos x="0" y="0"/>
              <wp:positionH relativeFrom="column">
                <wp:posOffset>-720090</wp:posOffset>
              </wp:positionH>
              <wp:positionV relativeFrom="paragraph">
                <wp:posOffset>-450215</wp:posOffset>
              </wp:positionV>
              <wp:extent cx="7599600" cy="10738981"/>
              <wp:effectExtent l="0" t="0" r="1905" b="5715"/>
              <wp:wrapNone/>
              <wp:docPr id="10" name="Group 10" descr="NSW Government, State Insurance Regulatory Authority"/>
              <wp:cNvGraphicFramePr/>
              <a:graphic xmlns:a="http://schemas.openxmlformats.org/drawingml/2006/main">
                <a:graphicData uri="http://schemas.microsoft.com/office/word/2010/wordprocessingGroup">
                  <wpg:wgp xmlns:wpg="http://schemas.microsoft.com/office/word/2010/wordprocessingGroup">
                    <wpg:cNvGrpSpPr/>
                    <wpg:grpSpPr>
                      <a:xfrm>
                        <a:off x="0" y="0"/>
                        <a:ext cx="7591980" cy="10738979"/>
                        <a:chOff x="3809" y="0"/>
                        <a:chExt cx="7591980" cy="10738979"/>
                      </a:xfrm>
                    </wpg:grpSpPr>
                    <pic:pic xmlns:pic="http://schemas.openxmlformats.org/drawingml/2006/picture">
                      <pic:nvPicPr>
                        <pic:cNvPr id="8" name="Picture 8" descr="NSW Government"/>
                        <pic:cNvPicPr>
                          <a:picLocks noChangeAspect="1"/>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3809" y="0"/>
                          <a:ext cx="7591980" cy="10738979"/>
                        </a:xfrm>
                        <a:prstGeom prst="rect">
                          <a:avLst/>
                        </a:prstGeom>
                      </pic:spPr>
                    </pic:pic>
                    <wps:wsp xmlns:wps="http://schemas.microsoft.com/office/word/2010/wordprocessingShape">
                      <wps:cNvPr id="30" name="Rectangle 30" descr="Decorative"/>
                      <wps:cNvSpPr/>
                      <wps:spPr>
                        <a:xfrm>
                          <a:off x="2733675" y="5686425"/>
                          <a:ext cx="2106930" cy="2028190"/>
                        </a:xfrm>
                        <a:custGeom>
                          <a:avLst/>
                          <a:gdLst>
                            <a:gd name="connsiteX0" fmla="*/ 0 w 2070538"/>
                            <a:gd name="connsiteY0" fmla="*/ 0 h 1597573"/>
                            <a:gd name="connsiteX1" fmla="*/ 2070538 w 2070538"/>
                            <a:gd name="connsiteY1" fmla="*/ 0 h 1597573"/>
                            <a:gd name="connsiteX2" fmla="*/ 2070538 w 2070538"/>
                            <a:gd name="connsiteY2" fmla="*/ 1597573 h 1597573"/>
                            <a:gd name="connsiteX3" fmla="*/ 0 w 2070538"/>
                            <a:gd name="connsiteY3" fmla="*/ 1597573 h 1597573"/>
                            <a:gd name="connsiteX4" fmla="*/ 0 w 2070538"/>
                            <a:gd name="connsiteY4" fmla="*/ 0 h 1597573"/>
                            <a:gd name="connsiteX0" fmla="*/ 0 w 2070538"/>
                            <a:gd name="connsiteY0" fmla="*/ 0 h 1597573"/>
                            <a:gd name="connsiteX1" fmla="*/ 861848 w 2070538"/>
                            <a:gd name="connsiteY1" fmla="*/ 0 h 1597573"/>
                            <a:gd name="connsiteX2" fmla="*/ 2070538 w 2070538"/>
                            <a:gd name="connsiteY2" fmla="*/ 0 h 1597573"/>
                            <a:gd name="connsiteX3" fmla="*/ 2070538 w 2070538"/>
                            <a:gd name="connsiteY3" fmla="*/ 1597573 h 1597573"/>
                            <a:gd name="connsiteX4" fmla="*/ 0 w 2070538"/>
                            <a:gd name="connsiteY4" fmla="*/ 1597573 h 1597573"/>
                            <a:gd name="connsiteX5" fmla="*/ 0 w 2070538"/>
                            <a:gd name="connsiteY5" fmla="*/ 0 h 1597573"/>
                            <a:gd name="connsiteX0" fmla="*/ 0 w 2070538"/>
                            <a:gd name="connsiteY0" fmla="*/ 10510 h 1608083"/>
                            <a:gd name="connsiteX1" fmla="*/ 861848 w 2070538"/>
                            <a:gd name="connsiteY1" fmla="*/ 10510 h 1608083"/>
                            <a:gd name="connsiteX2" fmla="*/ 1566041 w 2070538"/>
                            <a:gd name="connsiteY2" fmla="*/ 0 h 1608083"/>
                            <a:gd name="connsiteX3" fmla="*/ 2070538 w 2070538"/>
                            <a:gd name="connsiteY3" fmla="*/ 10510 h 1608083"/>
                            <a:gd name="connsiteX4" fmla="*/ 2070538 w 2070538"/>
                            <a:gd name="connsiteY4" fmla="*/ 1608083 h 1608083"/>
                            <a:gd name="connsiteX5" fmla="*/ 0 w 2070538"/>
                            <a:gd name="connsiteY5" fmla="*/ 1608083 h 1608083"/>
                            <a:gd name="connsiteX6" fmla="*/ 0 w 2070538"/>
                            <a:gd name="connsiteY6" fmla="*/ 10510 h 1608083"/>
                            <a:gd name="connsiteX0" fmla="*/ 0 w 2070538"/>
                            <a:gd name="connsiteY0" fmla="*/ 10510 h 1608083"/>
                            <a:gd name="connsiteX1" fmla="*/ 861848 w 2070538"/>
                            <a:gd name="connsiteY1" fmla="*/ 10510 h 1608083"/>
                            <a:gd name="connsiteX2" fmla="*/ 1208689 w 2070538"/>
                            <a:gd name="connsiteY2" fmla="*/ 0 h 1608083"/>
                            <a:gd name="connsiteX3" fmla="*/ 1566041 w 2070538"/>
                            <a:gd name="connsiteY3" fmla="*/ 0 h 1608083"/>
                            <a:gd name="connsiteX4" fmla="*/ 2070538 w 2070538"/>
                            <a:gd name="connsiteY4" fmla="*/ 10510 h 1608083"/>
                            <a:gd name="connsiteX5" fmla="*/ 2070538 w 2070538"/>
                            <a:gd name="connsiteY5" fmla="*/ 1608083 h 1608083"/>
                            <a:gd name="connsiteX6" fmla="*/ 0 w 2070538"/>
                            <a:gd name="connsiteY6" fmla="*/ 1608083 h 1608083"/>
                            <a:gd name="connsiteX7" fmla="*/ 0 w 2070538"/>
                            <a:gd name="connsiteY7" fmla="*/ 10510 h 1608083"/>
                            <a:gd name="connsiteX0" fmla="*/ 0 w 2070538"/>
                            <a:gd name="connsiteY0" fmla="*/ 431037 h 2028610"/>
                            <a:gd name="connsiteX1" fmla="*/ 861848 w 2070538"/>
                            <a:gd name="connsiteY1" fmla="*/ 431037 h 2028610"/>
                            <a:gd name="connsiteX2" fmla="*/ 872543 w 2070538"/>
                            <a:gd name="connsiteY2" fmla="*/ 0 h 2028610"/>
                            <a:gd name="connsiteX3" fmla="*/ 1566041 w 2070538"/>
                            <a:gd name="connsiteY3" fmla="*/ 420527 h 2028610"/>
                            <a:gd name="connsiteX4" fmla="*/ 2070538 w 2070538"/>
                            <a:gd name="connsiteY4" fmla="*/ 431037 h 2028610"/>
                            <a:gd name="connsiteX5" fmla="*/ 2070538 w 2070538"/>
                            <a:gd name="connsiteY5" fmla="*/ 2028610 h 2028610"/>
                            <a:gd name="connsiteX6" fmla="*/ 0 w 2070538"/>
                            <a:gd name="connsiteY6" fmla="*/ 2028610 h 2028610"/>
                            <a:gd name="connsiteX7" fmla="*/ 0 w 2070538"/>
                            <a:gd name="connsiteY7" fmla="*/ 431037 h 2028610"/>
                            <a:gd name="connsiteX0" fmla="*/ 0 w 2107560"/>
                            <a:gd name="connsiteY0" fmla="*/ 431037 h 2028610"/>
                            <a:gd name="connsiteX1" fmla="*/ 861848 w 2107560"/>
                            <a:gd name="connsiteY1" fmla="*/ 431037 h 2028610"/>
                            <a:gd name="connsiteX2" fmla="*/ 872543 w 2107560"/>
                            <a:gd name="connsiteY2" fmla="*/ 0 h 2028610"/>
                            <a:gd name="connsiteX3" fmla="*/ 1566041 w 2107560"/>
                            <a:gd name="connsiteY3" fmla="*/ 420527 h 2028610"/>
                            <a:gd name="connsiteX4" fmla="*/ 2107560 w 2107560"/>
                            <a:gd name="connsiteY4" fmla="*/ 416492 h 2028610"/>
                            <a:gd name="connsiteX5" fmla="*/ 2070538 w 2107560"/>
                            <a:gd name="connsiteY5" fmla="*/ 2028610 h 2028610"/>
                            <a:gd name="connsiteX6" fmla="*/ 0 w 2107560"/>
                            <a:gd name="connsiteY6" fmla="*/ 2028610 h 2028610"/>
                            <a:gd name="connsiteX7" fmla="*/ 0 w 2107560"/>
                            <a:gd name="connsiteY7" fmla="*/ 431037 h 2028610"/>
                            <a:gd name="connsiteX0" fmla="*/ 0 w 2107560"/>
                            <a:gd name="connsiteY0" fmla="*/ 431037 h 2028610"/>
                            <a:gd name="connsiteX1" fmla="*/ 861848 w 2107560"/>
                            <a:gd name="connsiteY1" fmla="*/ 431037 h 2028610"/>
                            <a:gd name="connsiteX2" fmla="*/ 872543 w 2107560"/>
                            <a:gd name="connsiteY2" fmla="*/ 0 h 2028610"/>
                            <a:gd name="connsiteX3" fmla="*/ 1566041 w 2107560"/>
                            <a:gd name="connsiteY3" fmla="*/ 420527 h 2028610"/>
                            <a:gd name="connsiteX4" fmla="*/ 2107560 w 2107560"/>
                            <a:gd name="connsiteY4" fmla="*/ 416492 h 2028610"/>
                            <a:gd name="connsiteX5" fmla="*/ 2107560 w 2107560"/>
                            <a:gd name="connsiteY5" fmla="*/ 2028610 h 2028610"/>
                            <a:gd name="connsiteX6" fmla="*/ 0 w 2107560"/>
                            <a:gd name="connsiteY6" fmla="*/ 2028610 h 2028610"/>
                            <a:gd name="connsiteX7" fmla="*/ 0 w 2107560"/>
                            <a:gd name="connsiteY7" fmla="*/ 431037 h 2028610"/>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fill="norm" h="2028610" w="2107560" stroke="1">
                              <a:moveTo>
                                <a:pt x="0" y="431037"/>
                              </a:moveTo>
                              <a:lnTo>
                                <a:pt x="861848" y="431037"/>
                              </a:lnTo>
                              <a:lnTo>
                                <a:pt x="872543" y="0"/>
                              </a:lnTo>
                              <a:lnTo>
                                <a:pt x="1566041" y="420527"/>
                              </a:lnTo>
                              <a:lnTo>
                                <a:pt x="2107560" y="416492"/>
                              </a:lnTo>
                              <a:lnTo>
                                <a:pt x="2107560" y="2028610"/>
                              </a:lnTo>
                              <a:lnTo>
                                <a:pt x="0" y="2028610"/>
                              </a:lnTo>
                              <a:lnTo>
                                <a:pt x="0" y="431037"/>
                              </a:lnTo>
                              <a:close/>
                            </a:path>
                          </a:pathLst>
                        </a:custGeom>
                        <a:solidFill>
                          <a:sysClr val="window" lastClr="FFFFFF"/>
                        </a:solidFill>
                        <a:ln w="25400">
                          <a:noFill/>
                        </a:ln>
                        <a:effectLst/>
                      </wps:spPr>
                      <wps:bodyPr rot="0" spcFirstLastPara="0" vertOverflow="overflow" horzOverflow="overflow" vert="horz" wrap="square" numCol="1" spcCol="0" rtlCol="0" fromWordArt="0" anchor="ctr" anchorCtr="0" forceAA="0" compatLnSpc="1">
                        <a:prstTxWarp prst="textNoShape">
                          <a:avLst/>
                        </a:prstTxWarp>
                      </wps:bodyPr>
                    </wps:wsp>
                    <wps:wsp xmlns:wps="http://schemas.microsoft.com/office/word/2010/wordprocessingShape">
                      <wps:cNvPr id="29" name="Rectangle 29" descr="Decorative"/>
                      <wps:cNvSpPr/>
                      <wps:spPr>
                        <a:xfrm>
                          <a:off x="609600" y="676275"/>
                          <a:ext cx="5255895" cy="5013325"/>
                        </a:xfrm>
                        <a:custGeom>
                          <a:avLst/>
                          <a:gdLst>
                            <a:gd name="connsiteX0" fmla="*/ 0 w 5234152"/>
                            <a:gd name="connsiteY0" fmla="*/ 0 h 3930869"/>
                            <a:gd name="connsiteX1" fmla="*/ 5234152 w 5234152"/>
                            <a:gd name="connsiteY1" fmla="*/ 0 h 3930869"/>
                            <a:gd name="connsiteX2" fmla="*/ 5234152 w 5234152"/>
                            <a:gd name="connsiteY2" fmla="*/ 3930869 h 3930869"/>
                            <a:gd name="connsiteX3" fmla="*/ 0 w 5234152"/>
                            <a:gd name="connsiteY3" fmla="*/ 3930869 h 3930869"/>
                            <a:gd name="connsiteX4" fmla="*/ 0 w 5234152"/>
                            <a:gd name="connsiteY4" fmla="*/ 0 h 3930869"/>
                            <a:gd name="connsiteX0" fmla="*/ 0 w 5234152"/>
                            <a:gd name="connsiteY0" fmla="*/ 0 h 3930869"/>
                            <a:gd name="connsiteX1" fmla="*/ 5234152 w 5234152"/>
                            <a:gd name="connsiteY1" fmla="*/ 0 h 3930869"/>
                            <a:gd name="connsiteX2" fmla="*/ 5234152 w 5234152"/>
                            <a:gd name="connsiteY2" fmla="*/ 3930869 h 3930869"/>
                            <a:gd name="connsiteX3" fmla="*/ 1093075 w 5234152"/>
                            <a:gd name="connsiteY3" fmla="*/ 3920359 h 3930869"/>
                            <a:gd name="connsiteX4" fmla="*/ 0 w 5234152"/>
                            <a:gd name="connsiteY4" fmla="*/ 3930869 h 3930869"/>
                            <a:gd name="connsiteX5" fmla="*/ 0 w 5234152"/>
                            <a:gd name="connsiteY5" fmla="*/ 0 h 3930869"/>
                            <a:gd name="connsiteX0" fmla="*/ 0 w 5234152"/>
                            <a:gd name="connsiteY0" fmla="*/ 0 h 3930869"/>
                            <a:gd name="connsiteX1" fmla="*/ 5234152 w 5234152"/>
                            <a:gd name="connsiteY1" fmla="*/ 0 h 3930869"/>
                            <a:gd name="connsiteX2" fmla="*/ 5234152 w 5234152"/>
                            <a:gd name="connsiteY2" fmla="*/ 3930869 h 3930869"/>
                            <a:gd name="connsiteX3" fmla="*/ 2995448 w 5234152"/>
                            <a:gd name="connsiteY3" fmla="*/ 3930869 h 3930869"/>
                            <a:gd name="connsiteX4" fmla="*/ 1093075 w 5234152"/>
                            <a:gd name="connsiteY4" fmla="*/ 3920359 h 3930869"/>
                            <a:gd name="connsiteX5" fmla="*/ 0 w 5234152"/>
                            <a:gd name="connsiteY5" fmla="*/ 3930869 h 3930869"/>
                            <a:gd name="connsiteX6" fmla="*/ 0 w 5234152"/>
                            <a:gd name="connsiteY6" fmla="*/ 0 h 3930869"/>
                            <a:gd name="connsiteX0" fmla="*/ 0 w 5234152"/>
                            <a:gd name="connsiteY0" fmla="*/ 0 h 3930869"/>
                            <a:gd name="connsiteX1" fmla="*/ 5234152 w 5234152"/>
                            <a:gd name="connsiteY1" fmla="*/ 0 h 3930869"/>
                            <a:gd name="connsiteX2" fmla="*/ 5234152 w 5234152"/>
                            <a:gd name="connsiteY2" fmla="*/ 3930869 h 3930869"/>
                            <a:gd name="connsiteX3" fmla="*/ 2995448 w 5234152"/>
                            <a:gd name="connsiteY3" fmla="*/ 3930869 h 3930869"/>
                            <a:gd name="connsiteX4" fmla="*/ 2175641 w 5234152"/>
                            <a:gd name="connsiteY4" fmla="*/ 3930869 h 3930869"/>
                            <a:gd name="connsiteX5" fmla="*/ 1093075 w 5234152"/>
                            <a:gd name="connsiteY5" fmla="*/ 3920359 h 3930869"/>
                            <a:gd name="connsiteX6" fmla="*/ 0 w 5234152"/>
                            <a:gd name="connsiteY6" fmla="*/ 3930869 h 3930869"/>
                            <a:gd name="connsiteX7" fmla="*/ 0 w 5234152"/>
                            <a:gd name="connsiteY7" fmla="*/ 0 h 3930869"/>
                            <a:gd name="connsiteX0" fmla="*/ 0 w 5234152"/>
                            <a:gd name="connsiteY0" fmla="*/ 0 h 4992692"/>
                            <a:gd name="connsiteX1" fmla="*/ 5234152 w 5234152"/>
                            <a:gd name="connsiteY1" fmla="*/ 0 h 4992692"/>
                            <a:gd name="connsiteX2" fmla="*/ 5234152 w 5234152"/>
                            <a:gd name="connsiteY2" fmla="*/ 3930869 h 4992692"/>
                            <a:gd name="connsiteX3" fmla="*/ 2995448 w 5234152"/>
                            <a:gd name="connsiteY3" fmla="*/ 3930869 h 4992692"/>
                            <a:gd name="connsiteX4" fmla="*/ 2985212 w 5234152"/>
                            <a:gd name="connsiteY4" fmla="*/ 4992692 h 4992692"/>
                            <a:gd name="connsiteX5" fmla="*/ 1093075 w 5234152"/>
                            <a:gd name="connsiteY5" fmla="*/ 3920359 h 4992692"/>
                            <a:gd name="connsiteX6" fmla="*/ 0 w 5234152"/>
                            <a:gd name="connsiteY6" fmla="*/ 3930869 h 4992692"/>
                            <a:gd name="connsiteX7" fmla="*/ 0 w 5234152"/>
                            <a:gd name="connsiteY7" fmla="*/ 0 h 4992692"/>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fill="norm" h="4992692" w="5234152" stroke="1">
                              <a:moveTo>
                                <a:pt x="0" y="0"/>
                              </a:moveTo>
                              <a:lnTo>
                                <a:pt x="5234152" y="0"/>
                              </a:lnTo>
                              <a:lnTo>
                                <a:pt x="5234152" y="3930869"/>
                              </a:lnTo>
                              <a:lnTo>
                                <a:pt x="2995448" y="3930869"/>
                              </a:lnTo>
                              <a:lnTo>
                                <a:pt x="2985212" y="4992692"/>
                              </a:lnTo>
                              <a:lnTo>
                                <a:pt x="1093075" y="3920359"/>
                              </a:lnTo>
                              <a:lnTo>
                                <a:pt x="0" y="3930869"/>
                              </a:lnTo>
                              <a:lnTo>
                                <a:pt x="0" y="0"/>
                              </a:lnTo>
                              <a:close/>
                            </a:path>
                          </a:pathLst>
                        </a:custGeom>
                        <a:solidFill>
                          <a:srgbClr val="007A33"/>
                        </a:solidFill>
                        <a:ln w="25400">
                          <a:noFill/>
                        </a:ln>
                        <a:effectLst/>
                      </wps:spPr>
                      <wps:txbx>
                        <w:txbxContent>
                          <w:p w:rsidR="006D1601" w:rsidP="008F778A" w14:textId="77777777">
                            <w:pPr>
                              <w:jc w:val="center"/>
                            </w:pPr>
                          </w:p>
                        </w:txbxContent>
                      </wps:txbx>
                      <wps:bodyPr rot="0" spcFirstLastPara="0" vertOverflow="overflow" horzOverflow="overflow" vert="horz" wrap="square"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10" o:spid="_x0000_s2049" alt="NSW Government, State Insurance Regulatory Authority" style="width:598.4pt;height:845.6pt;margin-top:-35.45pt;margin-left:-56.7pt;mso-height-relative:margin;mso-width-relative:margin;position:absolute;z-index:-251657216" coordorigin="38,0" coordsize="75919,107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2050" type="#_x0000_t75" alt="NSW Government" style="width:75919;height:107389;left:38;mso-wrap-style:square;position:absolute;visibility:visible" o:preferrelative="f">
                <v:imagedata r:id="rId1" o:title="NSW Government"/>
              </v:shape>
              <v:shape id="Rectangle 30" o:spid="_x0000_s2051" alt="Decorative" style="width:21070;height:20282;left:27336;mso-wrap-style:square;position:absolute;top:56864;visibility:visible;v-text-anchor:middle" coordsize="2107560,2028610" path="m,431037l861848,431037l872543,l1566041,420527l2107560,416492l2107560,2028610l,2028610,,431037xe" fillcolor="window" stroked="f" strokeweight="2pt">
                <v:path arrowok="t" o:connecttype="custom" o:connectlocs="0,430948;861590,430948;872282,0;1565573,420440;2106930,416406;2106930,2028190;0,2028190;0,430948" o:connectangles="0,0,0,0,0,0,0,0"/>
              </v:shape>
              <v:shape id="Rectangle 29" o:spid="_x0000_s2052" alt="Decorative" style="width:52558;height:50134;left:6096;mso-wrap-style:square;position:absolute;top:6762;visibility:visible;v-text-anchor:middle" coordsize="5234152,4992692" o:spt="100" adj="-11796480,,5400" path="m,l5234152,l5234152,3930869l2995448,3930869l2985212,4992692l1093075,3920359,,3930869,,xe" fillcolor="#007a33" stroked="f" strokeweight="2pt">
                <v:stroke joinstyle="miter"/>
                <v:formulas/>
                <v:path arrowok="t" o:connecttype="custom" o:connectlocs="0,0;5255895,0;5255895,3947114;3007891,3947114;2997613,5013325;1097616,3936560;0,3947114;0,0" o:connectangles="0,0,0,0,0,0,0,0" textboxrect="0,0,5234152,4992692"/>
                <v:textbox>
                  <w:txbxContent>
                    <w:p w:rsidR="006D1601" w:rsidP="008F778A" w14:paraId="49124D67" w14:textId="77777777">
                      <w:pPr>
                        <w:jc w:val="center"/>
                      </w:pPr>
                    </w:p>
                  </w:txbxContent>
                </v:textbox>
              </v:shape>
            </v:group>
          </w:pict>
        </mc:Fallback>
      </mc:AlternateConten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D1601" w:rsidRPr="00930646" w:rsidP="00930646" w14:paraId="28FCCD0B" w14:textId="7076C3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D1601" w:rsidP="00C67A7B" w14:paraId="77699954" w14:textId="77777777">
    <w:pPr>
      <w:pStyle w:val="Header"/>
      <w:tabs>
        <w:tab w:val="clear" w:pos="4513"/>
        <w:tab w:val="left" w:pos="6714"/>
        <w:tab w:val="clear" w:pos="9026"/>
      </w:tabs>
    </w:pPr>
    <w:r>
      <w:tab/>
    </w:r>
    <w:r>
      <w:rPr>
        <w:noProof/>
        <w:lang w:eastAsia="zh-CN"/>
      </w:rPr>
      <mc:AlternateContent>
        <mc:Choice Requires="wps">
          <w:drawing>
            <wp:anchor distT="0" distB="0" distL="114300" distR="114300" simplePos="0" relativeHeight="251660288" behindDoc="1" locked="1" layoutInCell="1" allowOverlap="1">
              <wp:simplePos x="0" y="0"/>
              <wp:positionH relativeFrom="page">
                <wp:posOffset>0</wp:posOffset>
              </wp:positionH>
              <wp:positionV relativeFrom="page">
                <wp:posOffset>0</wp:posOffset>
              </wp:positionV>
              <wp:extent cx="7614000" cy="10692000"/>
              <wp:effectExtent l="0" t="0" r="6350" b="0"/>
              <wp:wrapNone/>
              <wp:docPr id="11" name="Rectangle 11" descr="Decorative" title="Decorative"/>
              <wp:cNvGraphicFramePr/>
              <a:graphic xmlns:a="http://schemas.openxmlformats.org/drawingml/2006/main">
                <a:graphicData uri="http://schemas.microsoft.com/office/word/2010/wordprocessingShape">
                  <wps:wsp xmlns:wps="http://schemas.microsoft.com/office/word/2010/wordprocessingShape">
                    <wps:cNvSpPr/>
                    <wps:spPr>
                      <a:xfrm>
                        <a:off x="0" y="0"/>
                        <a:ext cx="7614000" cy="10692000"/>
                      </a:xfrm>
                      <a:prstGeom prst="rect">
                        <a:avLst/>
                      </a:prstGeom>
                      <a:blipFill>
                        <a:blip xmlns:r="http://schemas.openxmlformats.org/officeDocument/2006/relationships" r:embed="rId1"/>
                        <a:stretch>
                          <a:fillRect/>
                        </a:stretch>
                      </a:blipFill>
                      <a:ln w="25400">
                        <a:no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2053" alt="Title: Decorative - Description: Decorative" style="width:599.55pt;height:841.9pt;margin-top:0;margin-left:0;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5168" stroked="f" strokeweight="2pt">
              <v:fill r:id="rId1" o:title="Decorative" recolor="t" rotate="t" type="frame"/>
              <w10:anchorlock/>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D1601" w:rsidRPr="001825E2" w:rsidP="001825E2" w14:paraId="1EE95FC4"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D"/>
    <w:multiLevelType w:val="singleLevel"/>
    <w:tmpl w:val="64EC3D54"/>
    <w:lvl w:ilvl="0">
      <w:start w:val="1"/>
      <w:numFmt w:val="decimal"/>
      <w:pStyle w:val="ListNumber4"/>
      <w:lvlText w:val="%1."/>
      <w:lvlJc w:val="left"/>
      <w:pPr>
        <w:tabs>
          <w:tab w:val="num" w:pos="1209"/>
        </w:tabs>
        <w:ind w:left="1209" w:hanging="360"/>
      </w:pPr>
    </w:lvl>
  </w:abstractNum>
  <w:abstractNum w:abstractNumId="1">
    <w:nsid w:val="FFFFFF80"/>
    <w:multiLevelType w:val="singleLevel"/>
    <w:tmpl w:val="7C564B8C"/>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FFFFFF81"/>
    <w:multiLevelType w:val="singleLevel"/>
    <w:tmpl w:val="9B160F50"/>
    <w:lvl w:ilvl="0">
      <w:start w:val="1"/>
      <w:numFmt w:val="bullet"/>
      <w:pStyle w:val="ListBullet4"/>
      <w:lvlText w:val=""/>
      <w:lvlJc w:val="left"/>
      <w:pPr>
        <w:tabs>
          <w:tab w:val="num" w:pos="1209"/>
        </w:tabs>
        <w:ind w:left="1209" w:hanging="360"/>
      </w:pPr>
      <w:rPr>
        <w:rFonts w:ascii="Symbol" w:hAnsi="Symbol" w:hint="default"/>
      </w:rPr>
    </w:lvl>
  </w:abstractNum>
  <w:abstractNum w:abstractNumId="3">
    <w:nsid w:val="03186CC9"/>
    <w:multiLevelType w:val="multilevel"/>
    <w:tmpl w:val="E2EE6E20"/>
    <w:numStyleLink w:val="ListBullets"/>
    <w:lvl w:ilvl="0">
      <w:start w:val="1"/>
      <w:numFmt w:val="decimal"/>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4">
    <w:nsid w:val="087D5014"/>
    <w:multiLevelType w:val="multilevel"/>
    <w:tmpl w:val="7FF2F8DC"/>
    <w:numStyleLink w:val="Numberedlist"/>
    <w:lvl w:ilvl="0">
      <w:start w:val="1"/>
      <w:numFmt w:val="decimal"/>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5">
    <w:nsid w:val="08BE17A9"/>
    <w:multiLevelType w:val="multilevel"/>
    <w:tmpl w:val="7B829906"/>
    <w:styleLink w:val="Numberingmultilevelsubhead"/>
    <w:lvl w:ilvl="0">
      <w:start w:val="1"/>
      <w:numFmt w:val="decimal"/>
      <w:pStyle w:val="Numberedheading1"/>
      <w:lvlText w:val="%1."/>
      <w:lvlJc w:val="left"/>
      <w:pPr>
        <w:ind w:left="567" w:hanging="567"/>
      </w:pPr>
      <w:rPr>
        <w:rFonts w:hint="default"/>
      </w:rPr>
    </w:lvl>
    <w:lvl w:ilvl="1">
      <w:start w:val="1"/>
      <w:numFmt w:val="decimal"/>
      <w:pStyle w:val="Numberedheading22ndlevel"/>
      <w:lvlText w:val="%1.%2"/>
      <w:lvlJc w:val="left"/>
      <w:pPr>
        <w:ind w:left="567" w:hanging="567"/>
      </w:pPr>
      <w:rPr>
        <w:rFonts w:hint="default"/>
      </w:rPr>
    </w:lvl>
    <w:lvl w:ilvl="2">
      <w:start w:val="1"/>
      <w:numFmt w:val="decimal"/>
      <w:lvlText w:val="%1.%2.%3"/>
      <w:lvlJc w:val="left"/>
      <w:pPr>
        <w:ind w:left="1134"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27CF7CCA"/>
    <w:multiLevelType w:val="multilevel"/>
    <w:tmpl w:val="7FF2F8DC"/>
    <w:styleLink w:val="Numberedlist"/>
    <w:lvl w:ilvl="0">
      <w:start w:val="1"/>
      <w:numFmt w:val="decimal"/>
      <w:pStyle w:val="ListNumber"/>
      <w:lvlText w:val="%1."/>
      <w:lvlJc w:val="left"/>
      <w:pPr>
        <w:tabs>
          <w:tab w:val="num" w:pos="360"/>
        </w:tabs>
        <w:ind w:left="360" w:hanging="360"/>
      </w:pPr>
      <w:rPr>
        <w:rFonts w:hint="default"/>
      </w:rPr>
    </w:lvl>
    <w:lvl w:ilvl="1">
      <w:start w:val="1"/>
      <w:numFmt w:val="decimal"/>
      <w:pStyle w:val="ListNumber2"/>
      <w:lvlText w:val="%1.%2"/>
      <w:lvlJc w:val="left"/>
      <w:pPr>
        <w:ind w:left="720" w:hanging="363"/>
      </w:pPr>
      <w:rPr>
        <w:rFonts w:hint="default"/>
      </w:rPr>
    </w:lvl>
    <w:lvl w:ilvl="2">
      <w:start w:val="1"/>
      <w:numFmt w:val="decimal"/>
      <w:pStyle w:val="ListNumber3"/>
      <w:lvlText w:val="%1.%2.%3"/>
      <w:lvlJc w:val="left"/>
      <w:pPr>
        <w:ind w:left="1077" w:hanging="346"/>
      </w:pPr>
      <w:rPr>
        <w:rFonts w:hint="default"/>
      </w:rPr>
    </w:lvl>
    <w:lvl w:ilvl="3">
      <w:start w:val="1"/>
      <w:numFmt w:val="decimal"/>
      <w:lvlText w:val="%4."/>
      <w:lvlJc w:val="left"/>
      <w:pPr>
        <w:ind w:left="1435"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2B936712"/>
    <w:multiLevelType w:val="hybridMultilevel"/>
    <w:tmpl w:val="F3C42FF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0264CB1"/>
    <w:multiLevelType w:val="multilevel"/>
    <w:tmpl w:val="25E4E16E"/>
    <w:styleLink w:val="Style20"/>
    <w:lvl w:ilvl="0">
      <w:start w:val="1"/>
      <w:numFmt w:val="decimal"/>
      <w:pStyle w:val="List"/>
      <w:lvlText w:val="%1."/>
      <w:lvlJc w:val="left"/>
      <w:pPr>
        <w:ind w:left="360" w:hanging="360"/>
      </w:pPr>
      <w:rPr>
        <w:rFonts w:hint="default"/>
      </w:rPr>
    </w:lvl>
    <w:lvl w:ilvl="1">
      <w:start w:val="1"/>
      <w:numFmt w:val="lowerLetter"/>
      <w:pStyle w:val="List2"/>
      <w:lvlText w:val="%2)"/>
      <w:lvlJc w:val="left"/>
      <w:pPr>
        <w:ind w:left="720" w:hanging="360"/>
      </w:pPr>
      <w:rPr>
        <w:rFonts w:hint="default"/>
      </w:rPr>
    </w:lvl>
    <w:lvl w:ilvl="2">
      <w:start w:val="1"/>
      <w:numFmt w:val="lowerRoman"/>
      <w:pStyle w:val="Lis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32A52FB7"/>
    <w:multiLevelType w:val="hybridMultilevel"/>
    <w:tmpl w:val="E9421660"/>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36E82A96"/>
    <w:multiLevelType w:val="hybridMultilevel"/>
    <w:tmpl w:val="E28A61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41A33C2A"/>
    <w:multiLevelType w:val="multilevel"/>
    <w:tmpl w:val="E2EE6E20"/>
    <w:styleLink w:val="ListBullets"/>
    <w:lvl w:ilvl="0">
      <w:start w:val="1"/>
      <w:numFmt w:val="bullet"/>
      <w:pStyle w:val="ListBullet"/>
      <w:lvlText w:val=""/>
      <w:lvlJc w:val="left"/>
      <w:pPr>
        <w:ind w:left="357" w:hanging="357"/>
      </w:pPr>
      <w:rPr>
        <w:rFonts w:ascii="Symbol" w:hAnsi="Symbol" w:hint="default"/>
        <w:color w:val="auto"/>
        <w:sz w:val="20"/>
        <w:u w:val="none"/>
      </w:rPr>
    </w:lvl>
    <w:lvl w:ilvl="1">
      <w:start w:val="1"/>
      <w:numFmt w:val="bullet"/>
      <w:pStyle w:val="ListBullet2"/>
      <w:lvlText w:val="­"/>
      <w:lvlJc w:val="left"/>
      <w:pPr>
        <w:ind w:left="720" w:hanging="363"/>
      </w:pPr>
      <w:rPr>
        <w:rFonts w:ascii="Courier New" w:hAnsi="Courier New" w:hint="default"/>
        <w:color w:val="auto"/>
        <w:sz w:val="20"/>
      </w:rPr>
    </w:lvl>
    <w:lvl w:ilvl="2">
      <w:start w:val="1"/>
      <w:numFmt w:val="bullet"/>
      <w:lvlRestart w:val="0"/>
      <w:pStyle w:val="ListBullet3"/>
      <w:lvlText w:val=""/>
      <w:lvlJc w:val="left"/>
      <w:pPr>
        <w:ind w:left="1077" w:hanging="363"/>
      </w:pPr>
      <w:rPr>
        <w:rFonts w:ascii="Wingdings" w:hAnsi="Wingdings" w:hint="default"/>
        <w:color w:val="auto"/>
        <w:sz w:val="22"/>
        <w:szCs w:val="22"/>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2">
    <w:nsid w:val="466B3553"/>
    <w:multiLevelType w:val="hybridMultilevel"/>
    <w:tmpl w:val="A98CDFD4"/>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3">
    <w:nsid w:val="4A515441"/>
    <w:multiLevelType w:val="multilevel"/>
    <w:tmpl w:val="7B829906"/>
    <w:numStyleLink w:val="Numberingmultilevelsubhead"/>
    <w:lvl w:ilvl="0">
      <w:start w:val="1"/>
      <w:numFmt w:val="decimal"/>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14">
    <w:nsid w:val="51154C66"/>
    <w:multiLevelType w:val="hybridMultilevel"/>
    <w:tmpl w:val="56F8DAE6"/>
    <w:lvl w:ilvl="0">
      <w:start w:val="1"/>
      <w:numFmt w:val="decimal"/>
      <w:pStyle w:val="Numberedheading3"/>
      <w:lvlText w:val="%1."/>
      <w:lvlJc w:val="left"/>
      <w:pPr>
        <w:ind w:left="720" w:hanging="360"/>
      </w:pPr>
      <w:rPr>
        <w:b/>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cap="rnd">
          <w14:noFill/>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5A681FF0"/>
    <w:multiLevelType w:val="hybridMultilevel"/>
    <w:tmpl w:val="E3CA3BA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5D9740E1"/>
    <w:multiLevelType w:val="hybridMultilevel"/>
    <w:tmpl w:val="9D462034"/>
    <w:lvl w:ilvl="0">
      <w:start w:val="1"/>
      <w:numFmt w:val="decimal"/>
      <w:pStyle w:val="Numberedheading4"/>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60C82B6A"/>
    <w:multiLevelType w:val="hybridMultilevel"/>
    <w:tmpl w:val="84A41F3A"/>
    <w:lvl w:ilvl="0">
      <w:start w:val="1"/>
      <w:numFmt w:val="decimal"/>
      <w:pStyle w:val="Numberedheading5"/>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62937883"/>
    <w:multiLevelType w:val="hybridMultilevel"/>
    <w:tmpl w:val="D794C436"/>
    <w:lvl w:ilvl="0">
      <w:start w:val="1"/>
      <w:numFmt w:val="bullet"/>
      <w:pStyle w:val="Referencetext"/>
      <w:lvlText w:val=""/>
      <w:lvlJc w:val="left"/>
      <w:pPr>
        <w:ind w:left="360" w:hanging="360"/>
      </w:pPr>
      <w:rPr>
        <w:rFonts w:ascii="Symbol" w:hAnsi="Symbol" w:hint="default"/>
        <w:sz w:val="20"/>
        <w:szCs w:val="20"/>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9">
    <w:nsid w:val="6EE3562D"/>
    <w:multiLevelType w:val="hybridMultilevel"/>
    <w:tmpl w:val="4E963C5A"/>
    <w:lvl w:ilvl="0">
      <w:start w:val="1"/>
      <w:numFmt w:val="decimal"/>
      <w:pStyle w:val="Numberedheading2"/>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7E887A0E"/>
    <w:multiLevelType w:val="hybridMultilevel"/>
    <w:tmpl w:val="70D4CD6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1"/>
  </w:num>
  <w:num w:numId="2">
    <w:abstractNumId w:val="19"/>
  </w:num>
  <w:num w:numId="3">
    <w:abstractNumId w:val="14"/>
  </w:num>
  <w:num w:numId="4">
    <w:abstractNumId w:val="16"/>
  </w:num>
  <w:num w:numId="5">
    <w:abstractNumId w:val="17"/>
  </w:num>
  <w:num w:numId="6">
    <w:abstractNumId w:val="18"/>
  </w:num>
  <w:num w:numId="7">
    <w:abstractNumId w:val="2"/>
  </w:num>
  <w:num w:numId="8">
    <w:abstractNumId w:val="1"/>
  </w:num>
  <w:num w:numId="9">
    <w:abstractNumId w:val="0"/>
  </w:num>
  <w:num w:numId="10">
    <w:abstractNumId w:val="5"/>
  </w:num>
  <w:num w:numId="11">
    <w:abstractNumId w:val="13"/>
  </w:num>
  <w:num w:numId="12">
    <w:abstractNumId w:val="8"/>
  </w:num>
  <w:num w:numId="13">
    <w:abstractNumId w:val="3"/>
  </w:num>
  <w:num w:numId="14">
    <w:abstractNumId w:val="6"/>
  </w:num>
  <w:num w:numId="15">
    <w:abstractNumId w:val="4"/>
  </w:num>
  <w:num w:numId="16">
    <w:abstractNumId w:val="20"/>
  </w:num>
  <w:num w:numId="17">
    <w:abstractNumId w:val="12"/>
  </w:num>
  <w:num w:numId="18">
    <w:abstractNumId w:val="15"/>
  </w:num>
  <w:num w:numId="19">
    <w:abstractNumId w:val="10"/>
  </w:num>
  <w:num w:numId="20">
    <w:abstractNumId w:val="9"/>
  </w:num>
  <w:num w:numId="21">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evenAndOddHeaders/>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4F5A"/>
    <w:rsid w:val="00000244"/>
    <w:rsid w:val="00000376"/>
    <w:rsid w:val="00000BB7"/>
    <w:rsid w:val="00000E4F"/>
    <w:rsid w:val="0000116C"/>
    <w:rsid w:val="0000132D"/>
    <w:rsid w:val="00001445"/>
    <w:rsid w:val="00001984"/>
    <w:rsid w:val="00001A6D"/>
    <w:rsid w:val="00001B81"/>
    <w:rsid w:val="00001F48"/>
    <w:rsid w:val="000022C9"/>
    <w:rsid w:val="00002581"/>
    <w:rsid w:val="0000260A"/>
    <w:rsid w:val="00002A31"/>
    <w:rsid w:val="00002B1F"/>
    <w:rsid w:val="00002C5D"/>
    <w:rsid w:val="00002EC0"/>
    <w:rsid w:val="00003153"/>
    <w:rsid w:val="0000325A"/>
    <w:rsid w:val="00003A8E"/>
    <w:rsid w:val="00003AA0"/>
    <w:rsid w:val="00004108"/>
    <w:rsid w:val="000041A0"/>
    <w:rsid w:val="000041F9"/>
    <w:rsid w:val="00004BE7"/>
    <w:rsid w:val="00004E39"/>
    <w:rsid w:val="000054F8"/>
    <w:rsid w:val="000056F1"/>
    <w:rsid w:val="00005B04"/>
    <w:rsid w:val="00005B0F"/>
    <w:rsid w:val="000065F1"/>
    <w:rsid w:val="00006944"/>
    <w:rsid w:val="0000698D"/>
    <w:rsid w:val="00006F08"/>
    <w:rsid w:val="000070A2"/>
    <w:rsid w:val="000071F2"/>
    <w:rsid w:val="000073B1"/>
    <w:rsid w:val="00007934"/>
    <w:rsid w:val="00007CC0"/>
    <w:rsid w:val="00007F57"/>
    <w:rsid w:val="00010421"/>
    <w:rsid w:val="000104FE"/>
    <w:rsid w:val="0001062F"/>
    <w:rsid w:val="00010661"/>
    <w:rsid w:val="000106B9"/>
    <w:rsid w:val="000106FA"/>
    <w:rsid w:val="00010A10"/>
    <w:rsid w:val="00010A46"/>
    <w:rsid w:val="0001146F"/>
    <w:rsid w:val="0001194D"/>
    <w:rsid w:val="00012126"/>
    <w:rsid w:val="00012286"/>
    <w:rsid w:val="00012678"/>
    <w:rsid w:val="00012DA6"/>
    <w:rsid w:val="00013225"/>
    <w:rsid w:val="00013714"/>
    <w:rsid w:val="00013C6E"/>
    <w:rsid w:val="000140C6"/>
    <w:rsid w:val="000141B2"/>
    <w:rsid w:val="000142F1"/>
    <w:rsid w:val="00014662"/>
    <w:rsid w:val="00014AE0"/>
    <w:rsid w:val="00014C9D"/>
    <w:rsid w:val="00015AD5"/>
    <w:rsid w:val="00015C03"/>
    <w:rsid w:val="000164DC"/>
    <w:rsid w:val="00016841"/>
    <w:rsid w:val="00017388"/>
    <w:rsid w:val="00017A71"/>
    <w:rsid w:val="00020361"/>
    <w:rsid w:val="00020865"/>
    <w:rsid w:val="00020A34"/>
    <w:rsid w:val="00020B1C"/>
    <w:rsid w:val="00020E27"/>
    <w:rsid w:val="000212F5"/>
    <w:rsid w:val="000214D3"/>
    <w:rsid w:val="00021CAE"/>
    <w:rsid w:val="0002216B"/>
    <w:rsid w:val="000223B9"/>
    <w:rsid w:val="00022977"/>
    <w:rsid w:val="00022BD3"/>
    <w:rsid w:val="00022C02"/>
    <w:rsid w:val="00022D8C"/>
    <w:rsid w:val="00023972"/>
    <w:rsid w:val="00023A82"/>
    <w:rsid w:val="00023CB8"/>
    <w:rsid w:val="00023DB9"/>
    <w:rsid w:val="00023E61"/>
    <w:rsid w:val="0002455C"/>
    <w:rsid w:val="000245EE"/>
    <w:rsid w:val="0002469A"/>
    <w:rsid w:val="00024F7C"/>
    <w:rsid w:val="00025138"/>
    <w:rsid w:val="0002553B"/>
    <w:rsid w:val="00025B55"/>
    <w:rsid w:val="00025BF3"/>
    <w:rsid w:val="00025D41"/>
    <w:rsid w:val="00025E43"/>
    <w:rsid w:val="0002613A"/>
    <w:rsid w:val="00026147"/>
    <w:rsid w:val="00026305"/>
    <w:rsid w:val="000263EB"/>
    <w:rsid w:val="000265C1"/>
    <w:rsid w:val="00026B3F"/>
    <w:rsid w:val="00026C76"/>
    <w:rsid w:val="00026CBA"/>
    <w:rsid w:val="00026F60"/>
    <w:rsid w:val="00027762"/>
    <w:rsid w:val="00027763"/>
    <w:rsid w:val="00027B02"/>
    <w:rsid w:val="00027DB9"/>
    <w:rsid w:val="00030169"/>
    <w:rsid w:val="00030403"/>
    <w:rsid w:val="00030582"/>
    <w:rsid w:val="00030F5C"/>
    <w:rsid w:val="000312F2"/>
    <w:rsid w:val="00031678"/>
    <w:rsid w:val="000316D0"/>
    <w:rsid w:val="0003189A"/>
    <w:rsid w:val="000318F0"/>
    <w:rsid w:val="00031B92"/>
    <w:rsid w:val="00031E18"/>
    <w:rsid w:val="00031E8F"/>
    <w:rsid w:val="00032345"/>
    <w:rsid w:val="0003234C"/>
    <w:rsid w:val="0003240A"/>
    <w:rsid w:val="000324A3"/>
    <w:rsid w:val="00032579"/>
    <w:rsid w:val="00032820"/>
    <w:rsid w:val="0003294E"/>
    <w:rsid w:val="00032CC1"/>
    <w:rsid w:val="000336B0"/>
    <w:rsid w:val="00033723"/>
    <w:rsid w:val="0003396D"/>
    <w:rsid w:val="00033AAF"/>
    <w:rsid w:val="00033F37"/>
    <w:rsid w:val="00033F64"/>
    <w:rsid w:val="00034638"/>
    <w:rsid w:val="00034DDE"/>
    <w:rsid w:val="000359C5"/>
    <w:rsid w:val="00035E7E"/>
    <w:rsid w:val="00036815"/>
    <w:rsid w:val="000368FE"/>
    <w:rsid w:val="00036A13"/>
    <w:rsid w:val="00036CC1"/>
    <w:rsid w:val="00036D06"/>
    <w:rsid w:val="000370E6"/>
    <w:rsid w:val="00037CFD"/>
    <w:rsid w:val="00037EF7"/>
    <w:rsid w:val="00040BFA"/>
    <w:rsid w:val="000410B7"/>
    <w:rsid w:val="0004184C"/>
    <w:rsid w:val="00041F24"/>
    <w:rsid w:val="000420DA"/>
    <w:rsid w:val="000422AD"/>
    <w:rsid w:val="0004261E"/>
    <w:rsid w:val="00042946"/>
    <w:rsid w:val="00042B2A"/>
    <w:rsid w:val="00042B9A"/>
    <w:rsid w:val="0004300F"/>
    <w:rsid w:val="000435A4"/>
    <w:rsid w:val="000437C1"/>
    <w:rsid w:val="00043A8F"/>
    <w:rsid w:val="00043CBA"/>
    <w:rsid w:val="00044271"/>
    <w:rsid w:val="0004441E"/>
    <w:rsid w:val="00044701"/>
    <w:rsid w:val="000447EE"/>
    <w:rsid w:val="000448C9"/>
    <w:rsid w:val="00044EC3"/>
    <w:rsid w:val="00044EF0"/>
    <w:rsid w:val="0004516C"/>
    <w:rsid w:val="000456A3"/>
    <w:rsid w:val="00045E39"/>
    <w:rsid w:val="00045F35"/>
    <w:rsid w:val="00046053"/>
    <w:rsid w:val="000467F7"/>
    <w:rsid w:val="00046898"/>
    <w:rsid w:val="0004696A"/>
    <w:rsid w:val="00046EFC"/>
    <w:rsid w:val="00046F21"/>
    <w:rsid w:val="0004787F"/>
    <w:rsid w:val="0004794E"/>
    <w:rsid w:val="00047AAC"/>
    <w:rsid w:val="00047B1A"/>
    <w:rsid w:val="00047DCF"/>
    <w:rsid w:val="000500E5"/>
    <w:rsid w:val="000507FA"/>
    <w:rsid w:val="00050F80"/>
    <w:rsid w:val="0005110B"/>
    <w:rsid w:val="0005182A"/>
    <w:rsid w:val="00051DD3"/>
    <w:rsid w:val="00051FC8"/>
    <w:rsid w:val="00052335"/>
    <w:rsid w:val="000526C3"/>
    <w:rsid w:val="00052844"/>
    <w:rsid w:val="000529E4"/>
    <w:rsid w:val="00052E26"/>
    <w:rsid w:val="00052F33"/>
    <w:rsid w:val="00053011"/>
    <w:rsid w:val="0005376E"/>
    <w:rsid w:val="00053A0F"/>
    <w:rsid w:val="00053A4F"/>
    <w:rsid w:val="00053AE4"/>
    <w:rsid w:val="00053B7E"/>
    <w:rsid w:val="0005435F"/>
    <w:rsid w:val="000543B2"/>
    <w:rsid w:val="0005495B"/>
    <w:rsid w:val="00054C6A"/>
    <w:rsid w:val="00054D2D"/>
    <w:rsid w:val="00054FEE"/>
    <w:rsid w:val="0005524F"/>
    <w:rsid w:val="00055282"/>
    <w:rsid w:val="0005534F"/>
    <w:rsid w:val="00055C03"/>
    <w:rsid w:val="00055F1C"/>
    <w:rsid w:val="00056470"/>
    <w:rsid w:val="00056734"/>
    <w:rsid w:val="00056D8C"/>
    <w:rsid w:val="0005753D"/>
    <w:rsid w:val="000578AE"/>
    <w:rsid w:val="00057DBA"/>
    <w:rsid w:val="000600F2"/>
    <w:rsid w:val="0006114B"/>
    <w:rsid w:val="00061441"/>
    <w:rsid w:val="0006155B"/>
    <w:rsid w:val="00061671"/>
    <w:rsid w:val="000618CD"/>
    <w:rsid w:val="00061944"/>
    <w:rsid w:val="00061B59"/>
    <w:rsid w:val="00061FF3"/>
    <w:rsid w:val="000624A8"/>
    <w:rsid w:val="000625DB"/>
    <w:rsid w:val="00062609"/>
    <w:rsid w:val="00062AEC"/>
    <w:rsid w:val="00062E85"/>
    <w:rsid w:val="0006310B"/>
    <w:rsid w:val="0006319D"/>
    <w:rsid w:val="000633B1"/>
    <w:rsid w:val="0006346A"/>
    <w:rsid w:val="000635F8"/>
    <w:rsid w:val="0006361D"/>
    <w:rsid w:val="00063953"/>
    <w:rsid w:val="00064014"/>
    <w:rsid w:val="00064390"/>
    <w:rsid w:val="00064545"/>
    <w:rsid w:val="00064608"/>
    <w:rsid w:val="0006471D"/>
    <w:rsid w:val="00064791"/>
    <w:rsid w:val="00064EB4"/>
    <w:rsid w:val="00064F33"/>
    <w:rsid w:val="00065055"/>
    <w:rsid w:val="00065283"/>
    <w:rsid w:val="00065410"/>
    <w:rsid w:val="00065515"/>
    <w:rsid w:val="00065EDA"/>
    <w:rsid w:val="000661B6"/>
    <w:rsid w:val="000668AB"/>
    <w:rsid w:val="00066A0D"/>
    <w:rsid w:val="00066A20"/>
    <w:rsid w:val="00066CE7"/>
    <w:rsid w:val="00066D4D"/>
    <w:rsid w:val="00067116"/>
    <w:rsid w:val="0006767B"/>
    <w:rsid w:val="000678E0"/>
    <w:rsid w:val="00067F5E"/>
    <w:rsid w:val="00067FDF"/>
    <w:rsid w:val="00070080"/>
    <w:rsid w:val="00070922"/>
    <w:rsid w:val="00070AFA"/>
    <w:rsid w:val="00070CC6"/>
    <w:rsid w:val="0007106E"/>
    <w:rsid w:val="000713F0"/>
    <w:rsid w:val="00071440"/>
    <w:rsid w:val="000714D6"/>
    <w:rsid w:val="000715CE"/>
    <w:rsid w:val="000716B1"/>
    <w:rsid w:val="0007204C"/>
    <w:rsid w:val="00072184"/>
    <w:rsid w:val="00072354"/>
    <w:rsid w:val="000727AD"/>
    <w:rsid w:val="00072DF1"/>
    <w:rsid w:val="00072F35"/>
    <w:rsid w:val="00072FA3"/>
    <w:rsid w:val="000730DF"/>
    <w:rsid w:val="000731A9"/>
    <w:rsid w:val="0007339C"/>
    <w:rsid w:val="000736DC"/>
    <w:rsid w:val="00073E9F"/>
    <w:rsid w:val="00073EDB"/>
    <w:rsid w:val="00074237"/>
    <w:rsid w:val="000747E2"/>
    <w:rsid w:val="00074815"/>
    <w:rsid w:val="000748BC"/>
    <w:rsid w:val="00074B5A"/>
    <w:rsid w:val="00074D59"/>
    <w:rsid w:val="00075048"/>
    <w:rsid w:val="00075188"/>
    <w:rsid w:val="0007559B"/>
    <w:rsid w:val="000756C7"/>
    <w:rsid w:val="00075785"/>
    <w:rsid w:val="0007590B"/>
    <w:rsid w:val="00075925"/>
    <w:rsid w:val="00075A18"/>
    <w:rsid w:val="00075B9B"/>
    <w:rsid w:val="00075EDC"/>
    <w:rsid w:val="00075FB3"/>
    <w:rsid w:val="00076140"/>
    <w:rsid w:val="000763F7"/>
    <w:rsid w:val="000765CD"/>
    <w:rsid w:val="00076A1B"/>
    <w:rsid w:val="00076A92"/>
    <w:rsid w:val="00076FAD"/>
    <w:rsid w:val="0007710D"/>
    <w:rsid w:val="00077677"/>
    <w:rsid w:val="000776D8"/>
    <w:rsid w:val="00077906"/>
    <w:rsid w:val="000812B2"/>
    <w:rsid w:val="00081635"/>
    <w:rsid w:val="000816A1"/>
    <w:rsid w:val="00081F2E"/>
    <w:rsid w:val="00081F57"/>
    <w:rsid w:val="000820FC"/>
    <w:rsid w:val="0008221A"/>
    <w:rsid w:val="0008227D"/>
    <w:rsid w:val="00082832"/>
    <w:rsid w:val="000829E0"/>
    <w:rsid w:val="00082A7E"/>
    <w:rsid w:val="00082DBD"/>
    <w:rsid w:val="00082DDD"/>
    <w:rsid w:val="00082E87"/>
    <w:rsid w:val="00082EC1"/>
    <w:rsid w:val="000832D0"/>
    <w:rsid w:val="0008357C"/>
    <w:rsid w:val="00083B21"/>
    <w:rsid w:val="00083D83"/>
    <w:rsid w:val="0008447D"/>
    <w:rsid w:val="00084C58"/>
    <w:rsid w:val="0008530D"/>
    <w:rsid w:val="0008562A"/>
    <w:rsid w:val="00086017"/>
    <w:rsid w:val="0008620D"/>
    <w:rsid w:val="000862A6"/>
    <w:rsid w:val="00086562"/>
    <w:rsid w:val="00086999"/>
    <w:rsid w:val="00086A76"/>
    <w:rsid w:val="00086C3C"/>
    <w:rsid w:val="00086DBC"/>
    <w:rsid w:val="00086E93"/>
    <w:rsid w:val="00086EDA"/>
    <w:rsid w:val="00086F00"/>
    <w:rsid w:val="0008749E"/>
    <w:rsid w:val="00087A14"/>
    <w:rsid w:val="00087AAA"/>
    <w:rsid w:val="00087E4F"/>
    <w:rsid w:val="00090048"/>
    <w:rsid w:val="0009036D"/>
    <w:rsid w:val="000903FA"/>
    <w:rsid w:val="00090A92"/>
    <w:rsid w:val="00091298"/>
    <w:rsid w:val="000915A9"/>
    <w:rsid w:val="000915C1"/>
    <w:rsid w:val="000918B7"/>
    <w:rsid w:val="00091D10"/>
    <w:rsid w:val="00091F8A"/>
    <w:rsid w:val="0009244C"/>
    <w:rsid w:val="00092818"/>
    <w:rsid w:val="00093934"/>
    <w:rsid w:val="00093E2D"/>
    <w:rsid w:val="00093F00"/>
    <w:rsid w:val="000940E6"/>
    <w:rsid w:val="00094378"/>
    <w:rsid w:val="000943CC"/>
    <w:rsid w:val="0009499A"/>
    <w:rsid w:val="000949CC"/>
    <w:rsid w:val="00094C2A"/>
    <w:rsid w:val="00094E34"/>
    <w:rsid w:val="0009510B"/>
    <w:rsid w:val="0009510C"/>
    <w:rsid w:val="0009561F"/>
    <w:rsid w:val="00095634"/>
    <w:rsid w:val="0009586A"/>
    <w:rsid w:val="000959EE"/>
    <w:rsid w:val="00095AD2"/>
    <w:rsid w:val="00095C4C"/>
    <w:rsid w:val="00095DB0"/>
    <w:rsid w:val="0009666C"/>
    <w:rsid w:val="00096D51"/>
    <w:rsid w:val="00096DE3"/>
    <w:rsid w:val="00096DE7"/>
    <w:rsid w:val="00096F06"/>
    <w:rsid w:val="00096F36"/>
    <w:rsid w:val="00097497"/>
    <w:rsid w:val="0009769A"/>
    <w:rsid w:val="00097785"/>
    <w:rsid w:val="00097801"/>
    <w:rsid w:val="00097C9A"/>
    <w:rsid w:val="00097F1A"/>
    <w:rsid w:val="000A005A"/>
    <w:rsid w:val="000A01DE"/>
    <w:rsid w:val="000A021B"/>
    <w:rsid w:val="000A05AE"/>
    <w:rsid w:val="000A085F"/>
    <w:rsid w:val="000A089C"/>
    <w:rsid w:val="000A0ABB"/>
    <w:rsid w:val="000A0D15"/>
    <w:rsid w:val="000A1B94"/>
    <w:rsid w:val="000A1CE2"/>
    <w:rsid w:val="000A29EB"/>
    <w:rsid w:val="000A2D35"/>
    <w:rsid w:val="000A2E79"/>
    <w:rsid w:val="000A317E"/>
    <w:rsid w:val="000A3597"/>
    <w:rsid w:val="000A363A"/>
    <w:rsid w:val="000A378B"/>
    <w:rsid w:val="000A3FB0"/>
    <w:rsid w:val="000A4016"/>
    <w:rsid w:val="000A4234"/>
    <w:rsid w:val="000A4940"/>
    <w:rsid w:val="000A4D49"/>
    <w:rsid w:val="000A4DFC"/>
    <w:rsid w:val="000A5D0C"/>
    <w:rsid w:val="000A5E12"/>
    <w:rsid w:val="000A5F5D"/>
    <w:rsid w:val="000A5F5E"/>
    <w:rsid w:val="000A6280"/>
    <w:rsid w:val="000A62E1"/>
    <w:rsid w:val="000A6595"/>
    <w:rsid w:val="000A66AA"/>
    <w:rsid w:val="000A6F64"/>
    <w:rsid w:val="000A6FDA"/>
    <w:rsid w:val="000A7185"/>
    <w:rsid w:val="000A73BA"/>
    <w:rsid w:val="000A747D"/>
    <w:rsid w:val="000A7A1C"/>
    <w:rsid w:val="000A7CBA"/>
    <w:rsid w:val="000A7D08"/>
    <w:rsid w:val="000A7EE6"/>
    <w:rsid w:val="000B0146"/>
    <w:rsid w:val="000B030C"/>
    <w:rsid w:val="000B0880"/>
    <w:rsid w:val="000B0B3A"/>
    <w:rsid w:val="000B0CEE"/>
    <w:rsid w:val="000B0DB4"/>
    <w:rsid w:val="000B101A"/>
    <w:rsid w:val="000B1131"/>
    <w:rsid w:val="000B12C8"/>
    <w:rsid w:val="000B1362"/>
    <w:rsid w:val="000B17A5"/>
    <w:rsid w:val="000B1B98"/>
    <w:rsid w:val="000B1B9D"/>
    <w:rsid w:val="000B1E05"/>
    <w:rsid w:val="000B239A"/>
    <w:rsid w:val="000B2563"/>
    <w:rsid w:val="000B258E"/>
    <w:rsid w:val="000B262F"/>
    <w:rsid w:val="000B2835"/>
    <w:rsid w:val="000B2A08"/>
    <w:rsid w:val="000B2C18"/>
    <w:rsid w:val="000B3640"/>
    <w:rsid w:val="000B3BAD"/>
    <w:rsid w:val="000B4341"/>
    <w:rsid w:val="000B444F"/>
    <w:rsid w:val="000B4465"/>
    <w:rsid w:val="000B4531"/>
    <w:rsid w:val="000B49B7"/>
    <w:rsid w:val="000B49E0"/>
    <w:rsid w:val="000B4F24"/>
    <w:rsid w:val="000B50F8"/>
    <w:rsid w:val="000B5504"/>
    <w:rsid w:val="000B56CB"/>
    <w:rsid w:val="000B5BA1"/>
    <w:rsid w:val="000B644D"/>
    <w:rsid w:val="000B6450"/>
    <w:rsid w:val="000B6787"/>
    <w:rsid w:val="000B6EFB"/>
    <w:rsid w:val="000C0275"/>
    <w:rsid w:val="000C0386"/>
    <w:rsid w:val="000C0494"/>
    <w:rsid w:val="000C09DD"/>
    <w:rsid w:val="000C0C77"/>
    <w:rsid w:val="000C18E6"/>
    <w:rsid w:val="000C1978"/>
    <w:rsid w:val="000C1C51"/>
    <w:rsid w:val="000C223D"/>
    <w:rsid w:val="000C23DA"/>
    <w:rsid w:val="000C24CC"/>
    <w:rsid w:val="000C28A2"/>
    <w:rsid w:val="000C2AB7"/>
    <w:rsid w:val="000C3530"/>
    <w:rsid w:val="000C3671"/>
    <w:rsid w:val="000C3A3A"/>
    <w:rsid w:val="000C4561"/>
    <w:rsid w:val="000C499E"/>
    <w:rsid w:val="000C4AAE"/>
    <w:rsid w:val="000C4EAA"/>
    <w:rsid w:val="000C55CF"/>
    <w:rsid w:val="000C648B"/>
    <w:rsid w:val="000C6541"/>
    <w:rsid w:val="000C65F7"/>
    <w:rsid w:val="000C6774"/>
    <w:rsid w:val="000C6850"/>
    <w:rsid w:val="000C6C26"/>
    <w:rsid w:val="000C7076"/>
    <w:rsid w:val="000C7B1C"/>
    <w:rsid w:val="000D028B"/>
    <w:rsid w:val="000D03BA"/>
    <w:rsid w:val="000D08F9"/>
    <w:rsid w:val="000D09A8"/>
    <w:rsid w:val="000D0CCF"/>
    <w:rsid w:val="000D159F"/>
    <w:rsid w:val="000D1D04"/>
    <w:rsid w:val="000D1EB1"/>
    <w:rsid w:val="000D2024"/>
    <w:rsid w:val="000D2098"/>
    <w:rsid w:val="000D2F58"/>
    <w:rsid w:val="000D3361"/>
    <w:rsid w:val="000D3435"/>
    <w:rsid w:val="000D3476"/>
    <w:rsid w:val="000D3829"/>
    <w:rsid w:val="000D3C54"/>
    <w:rsid w:val="000D3F88"/>
    <w:rsid w:val="000D40B2"/>
    <w:rsid w:val="000D45BD"/>
    <w:rsid w:val="000D4631"/>
    <w:rsid w:val="000D48E3"/>
    <w:rsid w:val="000D499B"/>
    <w:rsid w:val="000D4F9F"/>
    <w:rsid w:val="000D57A8"/>
    <w:rsid w:val="000D5D97"/>
    <w:rsid w:val="000D6184"/>
    <w:rsid w:val="000D65A7"/>
    <w:rsid w:val="000D667E"/>
    <w:rsid w:val="000D7341"/>
    <w:rsid w:val="000D772F"/>
    <w:rsid w:val="000D7948"/>
    <w:rsid w:val="000D7A89"/>
    <w:rsid w:val="000E0038"/>
    <w:rsid w:val="000E0C46"/>
    <w:rsid w:val="000E0CBC"/>
    <w:rsid w:val="000E0F00"/>
    <w:rsid w:val="000E1D80"/>
    <w:rsid w:val="000E1D9E"/>
    <w:rsid w:val="000E1E73"/>
    <w:rsid w:val="000E24B9"/>
    <w:rsid w:val="000E2582"/>
    <w:rsid w:val="000E2D48"/>
    <w:rsid w:val="000E2D9D"/>
    <w:rsid w:val="000E2DE0"/>
    <w:rsid w:val="000E328A"/>
    <w:rsid w:val="000E3640"/>
    <w:rsid w:val="000E3F66"/>
    <w:rsid w:val="000E438B"/>
    <w:rsid w:val="000E43D1"/>
    <w:rsid w:val="000E477F"/>
    <w:rsid w:val="000E4FC3"/>
    <w:rsid w:val="000E56F6"/>
    <w:rsid w:val="000E5857"/>
    <w:rsid w:val="000E58D8"/>
    <w:rsid w:val="000E6071"/>
    <w:rsid w:val="000E65DC"/>
    <w:rsid w:val="000E68DF"/>
    <w:rsid w:val="000E755A"/>
    <w:rsid w:val="000E75D4"/>
    <w:rsid w:val="000E794B"/>
    <w:rsid w:val="000E7DE4"/>
    <w:rsid w:val="000E7E9E"/>
    <w:rsid w:val="000F00CA"/>
    <w:rsid w:val="000F06B9"/>
    <w:rsid w:val="000F06E3"/>
    <w:rsid w:val="000F0954"/>
    <w:rsid w:val="000F0A01"/>
    <w:rsid w:val="000F0F6D"/>
    <w:rsid w:val="000F1A05"/>
    <w:rsid w:val="000F1C03"/>
    <w:rsid w:val="000F1E48"/>
    <w:rsid w:val="000F1F7C"/>
    <w:rsid w:val="000F229C"/>
    <w:rsid w:val="000F2409"/>
    <w:rsid w:val="000F2676"/>
    <w:rsid w:val="000F2768"/>
    <w:rsid w:val="000F2811"/>
    <w:rsid w:val="000F2F7F"/>
    <w:rsid w:val="000F31FD"/>
    <w:rsid w:val="000F31FE"/>
    <w:rsid w:val="000F3D35"/>
    <w:rsid w:val="000F3F89"/>
    <w:rsid w:val="000F3FEE"/>
    <w:rsid w:val="000F416D"/>
    <w:rsid w:val="000F42FD"/>
    <w:rsid w:val="000F45A3"/>
    <w:rsid w:val="000F4690"/>
    <w:rsid w:val="000F46A5"/>
    <w:rsid w:val="000F46EB"/>
    <w:rsid w:val="000F47FC"/>
    <w:rsid w:val="000F4925"/>
    <w:rsid w:val="000F4A7E"/>
    <w:rsid w:val="000F4B92"/>
    <w:rsid w:val="000F4C04"/>
    <w:rsid w:val="000F4F38"/>
    <w:rsid w:val="000F57B0"/>
    <w:rsid w:val="000F57FE"/>
    <w:rsid w:val="000F5995"/>
    <w:rsid w:val="000F6598"/>
    <w:rsid w:val="000F6808"/>
    <w:rsid w:val="000F6A27"/>
    <w:rsid w:val="000F6A89"/>
    <w:rsid w:val="000F6C8C"/>
    <w:rsid w:val="000F7010"/>
    <w:rsid w:val="000F704C"/>
    <w:rsid w:val="000F708C"/>
    <w:rsid w:val="000F748B"/>
    <w:rsid w:val="000F78F8"/>
    <w:rsid w:val="001000EB"/>
    <w:rsid w:val="001001FA"/>
    <w:rsid w:val="00100245"/>
    <w:rsid w:val="00101267"/>
    <w:rsid w:val="0010151D"/>
    <w:rsid w:val="00101B08"/>
    <w:rsid w:val="001021E7"/>
    <w:rsid w:val="0010237A"/>
    <w:rsid w:val="00102537"/>
    <w:rsid w:val="00102F13"/>
    <w:rsid w:val="001033B2"/>
    <w:rsid w:val="001036EF"/>
    <w:rsid w:val="0010371C"/>
    <w:rsid w:val="00103A4E"/>
    <w:rsid w:val="00103CAE"/>
    <w:rsid w:val="00103F81"/>
    <w:rsid w:val="00104A99"/>
    <w:rsid w:val="00104A9F"/>
    <w:rsid w:val="00104B0E"/>
    <w:rsid w:val="001052D7"/>
    <w:rsid w:val="001053AF"/>
    <w:rsid w:val="00105585"/>
    <w:rsid w:val="001055B1"/>
    <w:rsid w:val="001059F6"/>
    <w:rsid w:val="00105BAF"/>
    <w:rsid w:val="00105FD4"/>
    <w:rsid w:val="001063DF"/>
    <w:rsid w:val="001068CA"/>
    <w:rsid w:val="00106D3A"/>
    <w:rsid w:val="00106E77"/>
    <w:rsid w:val="00106F09"/>
    <w:rsid w:val="001070FD"/>
    <w:rsid w:val="001072A4"/>
    <w:rsid w:val="0010738A"/>
    <w:rsid w:val="00107616"/>
    <w:rsid w:val="001078F6"/>
    <w:rsid w:val="00107920"/>
    <w:rsid w:val="00110019"/>
    <w:rsid w:val="0011024C"/>
    <w:rsid w:val="00110335"/>
    <w:rsid w:val="00110380"/>
    <w:rsid w:val="00110588"/>
    <w:rsid w:val="001106F6"/>
    <w:rsid w:val="001109F0"/>
    <w:rsid w:val="00110D27"/>
    <w:rsid w:val="00111041"/>
    <w:rsid w:val="0011160B"/>
    <w:rsid w:val="00111743"/>
    <w:rsid w:val="00111AC8"/>
    <w:rsid w:val="00111FD6"/>
    <w:rsid w:val="001123DC"/>
    <w:rsid w:val="0011263E"/>
    <w:rsid w:val="00112AD9"/>
    <w:rsid w:val="00113203"/>
    <w:rsid w:val="001133CA"/>
    <w:rsid w:val="00113AEC"/>
    <w:rsid w:val="00114024"/>
    <w:rsid w:val="0011409D"/>
    <w:rsid w:val="001145E6"/>
    <w:rsid w:val="0011531D"/>
    <w:rsid w:val="001153CC"/>
    <w:rsid w:val="0011541A"/>
    <w:rsid w:val="00115514"/>
    <w:rsid w:val="00115C23"/>
    <w:rsid w:val="00116005"/>
    <w:rsid w:val="00116712"/>
    <w:rsid w:val="00116809"/>
    <w:rsid w:val="0011683B"/>
    <w:rsid w:val="0011692A"/>
    <w:rsid w:val="00116EA9"/>
    <w:rsid w:val="0011711A"/>
    <w:rsid w:val="001178CE"/>
    <w:rsid w:val="00117CCD"/>
    <w:rsid w:val="00120373"/>
    <w:rsid w:val="00120608"/>
    <w:rsid w:val="001206CD"/>
    <w:rsid w:val="00120775"/>
    <w:rsid w:val="001208D8"/>
    <w:rsid w:val="00120AF4"/>
    <w:rsid w:val="00120BC1"/>
    <w:rsid w:val="001212FF"/>
    <w:rsid w:val="0012197E"/>
    <w:rsid w:val="0012281F"/>
    <w:rsid w:val="00122D79"/>
    <w:rsid w:val="00122EC8"/>
    <w:rsid w:val="00123014"/>
    <w:rsid w:val="00123409"/>
    <w:rsid w:val="001235B8"/>
    <w:rsid w:val="00123B0A"/>
    <w:rsid w:val="00123BE4"/>
    <w:rsid w:val="00123FB3"/>
    <w:rsid w:val="00124085"/>
    <w:rsid w:val="001246E3"/>
    <w:rsid w:val="00124866"/>
    <w:rsid w:val="0012500C"/>
    <w:rsid w:val="001255DA"/>
    <w:rsid w:val="0012565E"/>
    <w:rsid w:val="001260E1"/>
    <w:rsid w:val="001262E6"/>
    <w:rsid w:val="00126527"/>
    <w:rsid w:val="00126813"/>
    <w:rsid w:val="0012692E"/>
    <w:rsid w:val="00126AF5"/>
    <w:rsid w:val="001273B0"/>
    <w:rsid w:val="00127799"/>
    <w:rsid w:val="00127B7A"/>
    <w:rsid w:val="00127F1C"/>
    <w:rsid w:val="00130278"/>
    <w:rsid w:val="001306EF"/>
    <w:rsid w:val="0013085F"/>
    <w:rsid w:val="00130980"/>
    <w:rsid w:val="00130AED"/>
    <w:rsid w:val="00130CBA"/>
    <w:rsid w:val="00130CF1"/>
    <w:rsid w:val="00130D34"/>
    <w:rsid w:val="00130D70"/>
    <w:rsid w:val="00131237"/>
    <w:rsid w:val="001317A6"/>
    <w:rsid w:val="0013193D"/>
    <w:rsid w:val="00131C9F"/>
    <w:rsid w:val="00131DA6"/>
    <w:rsid w:val="00131FE8"/>
    <w:rsid w:val="001321BC"/>
    <w:rsid w:val="0013246B"/>
    <w:rsid w:val="001327E9"/>
    <w:rsid w:val="00132B4E"/>
    <w:rsid w:val="00132E3E"/>
    <w:rsid w:val="0013384A"/>
    <w:rsid w:val="00133A21"/>
    <w:rsid w:val="00133D99"/>
    <w:rsid w:val="00133E56"/>
    <w:rsid w:val="00133F16"/>
    <w:rsid w:val="001340A0"/>
    <w:rsid w:val="00134327"/>
    <w:rsid w:val="001343D4"/>
    <w:rsid w:val="001345D8"/>
    <w:rsid w:val="00134608"/>
    <w:rsid w:val="00134A58"/>
    <w:rsid w:val="00134B13"/>
    <w:rsid w:val="00134E62"/>
    <w:rsid w:val="00135049"/>
    <w:rsid w:val="00135324"/>
    <w:rsid w:val="00135713"/>
    <w:rsid w:val="00135EA0"/>
    <w:rsid w:val="0013639B"/>
    <w:rsid w:val="001364B1"/>
    <w:rsid w:val="0013681B"/>
    <w:rsid w:val="00136F67"/>
    <w:rsid w:val="00137882"/>
    <w:rsid w:val="00137A2E"/>
    <w:rsid w:val="0014029A"/>
    <w:rsid w:val="001403B4"/>
    <w:rsid w:val="00140C09"/>
    <w:rsid w:val="001412BF"/>
    <w:rsid w:val="00141302"/>
    <w:rsid w:val="00141AD0"/>
    <w:rsid w:val="0014242A"/>
    <w:rsid w:val="001425B2"/>
    <w:rsid w:val="001428FF"/>
    <w:rsid w:val="00142A2A"/>
    <w:rsid w:val="00142C6E"/>
    <w:rsid w:val="00142E4B"/>
    <w:rsid w:val="00142ED2"/>
    <w:rsid w:val="00142EFB"/>
    <w:rsid w:val="00143332"/>
    <w:rsid w:val="001433A3"/>
    <w:rsid w:val="00143727"/>
    <w:rsid w:val="00143887"/>
    <w:rsid w:val="00143C79"/>
    <w:rsid w:val="00144180"/>
    <w:rsid w:val="00144234"/>
    <w:rsid w:val="00144A49"/>
    <w:rsid w:val="00144A98"/>
    <w:rsid w:val="00144AC5"/>
    <w:rsid w:val="00144FF1"/>
    <w:rsid w:val="001454A2"/>
    <w:rsid w:val="00145803"/>
    <w:rsid w:val="001463DB"/>
    <w:rsid w:val="0014679D"/>
    <w:rsid w:val="00146BA9"/>
    <w:rsid w:val="00146E07"/>
    <w:rsid w:val="00146EAE"/>
    <w:rsid w:val="00147DA0"/>
    <w:rsid w:val="00147FEE"/>
    <w:rsid w:val="0015035B"/>
    <w:rsid w:val="00150561"/>
    <w:rsid w:val="00150656"/>
    <w:rsid w:val="0015098A"/>
    <w:rsid w:val="0015145D"/>
    <w:rsid w:val="001514CA"/>
    <w:rsid w:val="00151854"/>
    <w:rsid w:val="00151DC4"/>
    <w:rsid w:val="00151F15"/>
    <w:rsid w:val="00152015"/>
    <w:rsid w:val="00152596"/>
    <w:rsid w:val="00152B8B"/>
    <w:rsid w:val="00152E5B"/>
    <w:rsid w:val="00153A50"/>
    <w:rsid w:val="00153B6C"/>
    <w:rsid w:val="00153CC8"/>
    <w:rsid w:val="0015401E"/>
    <w:rsid w:val="00154841"/>
    <w:rsid w:val="001551DC"/>
    <w:rsid w:val="00155234"/>
    <w:rsid w:val="001553CE"/>
    <w:rsid w:val="001554FE"/>
    <w:rsid w:val="001557CB"/>
    <w:rsid w:val="00155A38"/>
    <w:rsid w:val="00155AA1"/>
    <w:rsid w:val="00155C56"/>
    <w:rsid w:val="00155D02"/>
    <w:rsid w:val="00155E4A"/>
    <w:rsid w:val="00156320"/>
    <w:rsid w:val="00156622"/>
    <w:rsid w:val="0015738C"/>
    <w:rsid w:val="001575F1"/>
    <w:rsid w:val="00157A81"/>
    <w:rsid w:val="00157DD6"/>
    <w:rsid w:val="00160083"/>
    <w:rsid w:val="001600D2"/>
    <w:rsid w:val="00160202"/>
    <w:rsid w:val="00160229"/>
    <w:rsid w:val="001602B7"/>
    <w:rsid w:val="001604B6"/>
    <w:rsid w:val="00160996"/>
    <w:rsid w:val="00160BCB"/>
    <w:rsid w:val="00160EC9"/>
    <w:rsid w:val="0016144C"/>
    <w:rsid w:val="001616D3"/>
    <w:rsid w:val="00161760"/>
    <w:rsid w:val="0016178E"/>
    <w:rsid w:val="00161A46"/>
    <w:rsid w:val="00161E05"/>
    <w:rsid w:val="00161E27"/>
    <w:rsid w:val="00162033"/>
    <w:rsid w:val="0016214F"/>
    <w:rsid w:val="001629AC"/>
    <w:rsid w:val="001635FA"/>
    <w:rsid w:val="001636E7"/>
    <w:rsid w:val="00163817"/>
    <w:rsid w:val="0016406E"/>
    <w:rsid w:val="00164C35"/>
    <w:rsid w:val="001650B5"/>
    <w:rsid w:val="00165787"/>
    <w:rsid w:val="00165981"/>
    <w:rsid w:val="00165993"/>
    <w:rsid w:val="00165B3D"/>
    <w:rsid w:val="00165ED2"/>
    <w:rsid w:val="00166360"/>
    <w:rsid w:val="00166843"/>
    <w:rsid w:val="00166862"/>
    <w:rsid w:val="00166DAB"/>
    <w:rsid w:val="00167337"/>
    <w:rsid w:val="00167568"/>
    <w:rsid w:val="001676DB"/>
    <w:rsid w:val="0016798A"/>
    <w:rsid w:val="00170076"/>
    <w:rsid w:val="001709FC"/>
    <w:rsid w:val="00170ADE"/>
    <w:rsid w:val="00170C97"/>
    <w:rsid w:val="00171427"/>
    <w:rsid w:val="001716AE"/>
    <w:rsid w:val="00171FAE"/>
    <w:rsid w:val="00173045"/>
    <w:rsid w:val="00173080"/>
    <w:rsid w:val="00173B74"/>
    <w:rsid w:val="00173D00"/>
    <w:rsid w:val="001744B8"/>
    <w:rsid w:val="001748C0"/>
    <w:rsid w:val="00174C44"/>
    <w:rsid w:val="00174DB0"/>
    <w:rsid w:val="001753DB"/>
    <w:rsid w:val="00175664"/>
    <w:rsid w:val="00175991"/>
    <w:rsid w:val="00175A46"/>
    <w:rsid w:val="00175DA9"/>
    <w:rsid w:val="0017637B"/>
    <w:rsid w:val="0017642E"/>
    <w:rsid w:val="00176509"/>
    <w:rsid w:val="00176704"/>
    <w:rsid w:val="00176795"/>
    <w:rsid w:val="00177927"/>
    <w:rsid w:val="00177E83"/>
    <w:rsid w:val="0018092C"/>
    <w:rsid w:val="00180DF7"/>
    <w:rsid w:val="001811E9"/>
    <w:rsid w:val="0018127C"/>
    <w:rsid w:val="0018131D"/>
    <w:rsid w:val="00181A13"/>
    <w:rsid w:val="00181B8A"/>
    <w:rsid w:val="0018258B"/>
    <w:rsid w:val="001825E2"/>
    <w:rsid w:val="00182DE5"/>
    <w:rsid w:val="00184103"/>
    <w:rsid w:val="0018440E"/>
    <w:rsid w:val="001844E6"/>
    <w:rsid w:val="00184977"/>
    <w:rsid w:val="00185039"/>
    <w:rsid w:val="0018532B"/>
    <w:rsid w:val="00185422"/>
    <w:rsid w:val="00185597"/>
    <w:rsid w:val="00185A7D"/>
    <w:rsid w:val="001862BB"/>
    <w:rsid w:val="00186760"/>
    <w:rsid w:val="00186D83"/>
    <w:rsid w:val="00186FA6"/>
    <w:rsid w:val="001872FA"/>
    <w:rsid w:val="00187355"/>
    <w:rsid w:val="001876FF"/>
    <w:rsid w:val="00187819"/>
    <w:rsid w:val="00187848"/>
    <w:rsid w:val="001879DA"/>
    <w:rsid w:val="00187B4B"/>
    <w:rsid w:val="00187BE9"/>
    <w:rsid w:val="00187CE2"/>
    <w:rsid w:val="00187E39"/>
    <w:rsid w:val="00187F7C"/>
    <w:rsid w:val="001903CD"/>
    <w:rsid w:val="001904BC"/>
    <w:rsid w:val="00190AA2"/>
    <w:rsid w:val="00190C3E"/>
    <w:rsid w:val="0019131C"/>
    <w:rsid w:val="001916FE"/>
    <w:rsid w:val="00191D4A"/>
    <w:rsid w:val="00191E4E"/>
    <w:rsid w:val="00192623"/>
    <w:rsid w:val="00192C83"/>
    <w:rsid w:val="00192DC9"/>
    <w:rsid w:val="00193032"/>
    <w:rsid w:val="001930CE"/>
    <w:rsid w:val="00193594"/>
    <w:rsid w:val="00193632"/>
    <w:rsid w:val="001936F9"/>
    <w:rsid w:val="0019389D"/>
    <w:rsid w:val="00193B57"/>
    <w:rsid w:val="00193DF2"/>
    <w:rsid w:val="001942C8"/>
    <w:rsid w:val="0019455D"/>
    <w:rsid w:val="00194646"/>
    <w:rsid w:val="00194712"/>
    <w:rsid w:val="0019488A"/>
    <w:rsid w:val="00194912"/>
    <w:rsid w:val="00194D38"/>
    <w:rsid w:val="00194DBE"/>
    <w:rsid w:val="00194E64"/>
    <w:rsid w:val="00195544"/>
    <w:rsid w:val="00195581"/>
    <w:rsid w:val="00195785"/>
    <w:rsid w:val="00195818"/>
    <w:rsid w:val="00195841"/>
    <w:rsid w:val="001962B5"/>
    <w:rsid w:val="001963D8"/>
    <w:rsid w:val="0019675A"/>
    <w:rsid w:val="001969DD"/>
    <w:rsid w:val="00196B6B"/>
    <w:rsid w:val="0019706E"/>
    <w:rsid w:val="0019709C"/>
    <w:rsid w:val="00197226"/>
    <w:rsid w:val="00197661"/>
    <w:rsid w:val="00197922"/>
    <w:rsid w:val="00197A70"/>
    <w:rsid w:val="00197D96"/>
    <w:rsid w:val="001A0103"/>
    <w:rsid w:val="001A0565"/>
    <w:rsid w:val="001A0574"/>
    <w:rsid w:val="001A076C"/>
    <w:rsid w:val="001A078B"/>
    <w:rsid w:val="001A0AC0"/>
    <w:rsid w:val="001A0AF5"/>
    <w:rsid w:val="001A0B54"/>
    <w:rsid w:val="001A0C50"/>
    <w:rsid w:val="001A0E2D"/>
    <w:rsid w:val="001A1381"/>
    <w:rsid w:val="001A1472"/>
    <w:rsid w:val="001A1834"/>
    <w:rsid w:val="001A1B5F"/>
    <w:rsid w:val="001A1FA3"/>
    <w:rsid w:val="001A20A2"/>
    <w:rsid w:val="001A2197"/>
    <w:rsid w:val="001A23D1"/>
    <w:rsid w:val="001A26B7"/>
    <w:rsid w:val="001A29FD"/>
    <w:rsid w:val="001A37D8"/>
    <w:rsid w:val="001A3E33"/>
    <w:rsid w:val="001A47C1"/>
    <w:rsid w:val="001A4D71"/>
    <w:rsid w:val="001A54B7"/>
    <w:rsid w:val="001A5620"/>
    <w:rsid w:val="001A563D"/>
    <w:rsid w:val="001A59F4"/>
    <w:rsid w:val="001A5BF5"/>
    <w:rsid w:val="001A5C0B"/>
    <w:rsid w:val="001A63B3"/>
    <w:rsid w:val="001A6A89"/>
    <w:rsid w:val="001A6BE4"/>
    <w:rsid w:val="001A6E0A"/>
    <w:rsid w:val="001A7023"/>
    <w:rsid w:val="001A764A"/>
    <w:rsid w:val="001A76DA"/>
    <w:rsid w:val="001A79E3"/>
    <w:rsid w:val="001A7D71"/>
    <w:rsid w:val="001A7E09"/>
    <w:rsid w:val="001B0349"/>
    <w:rsid w:val="001B03D5"/>
    <w:rsid w:val="001B0462"/>
    <w:rsid w:val="001B0726"/>
    <w:rsid w:val="001B0F40"/>
    <w:rsid w:val="001B12BA"/>
    <w:rsid w:val="001B1784"/>
    <w:rsid w:val="001B18CB"/>
    <w:rsid w:val="001B18DE"/>
    <w:rsid w:val="001B1A66"/>
    <w:rsid w:val="001B1E67"/>
    <w:rsid w:val="001B2264"/>
    <w:rsid w:val="001B2E61"/>
    <w:rsid w:val="001B35EB"/>
    <w:rsid w:val="001B3652"/>
    <w:rsid w:val="001B3AFE"/>
    <w:rsid w:val="001B4037"/>
    <w:rsid w:val="001B4075"/>
    <w:rsid w:val="001B40A7"/>
    <w:rsid w:val="001B426F"/>
    <w:rsid w:val="001B4A0B"/>
    <w:rsid w:val="001B4F93"/>
    <w:rsid w:val="001B513F"/>
    <w:rsid w:val="001B51D4"/>
    <w:rsid w:val="001B51F4"/>
    <w:rsid w:val="001B541A"/>
    <w:rsid w:val="001B5948"/>
    <w:rsid w:val="001B598F"/>
    <w:rsid w:val="001B645F"/>
    <w:rsid w:val="001B68A5"/>
    <w:rsid w:val="001B6957"/>
    <w:rsid w:val="001B6BB3"/>
    <w:rsid w:val="001B6DFE"/>
    <w:rsid w:val="001B6E67"/>
    <w:rsid w:val="001B72CB"/>
    <w:rsid w:val="001B7389"/>
    <w:rsid w:val="001B7580"/>
    <w:rsid w:val="001B7600"/>
    <w:rsid w:val="001B7BDA"/>
    <w:rsid w:val="001B7FD5"/>
    <w:rsid w:val="001C0376"/>
    <w:rsid w:val="001C03FC"/>
    <w:rsid w:val="001C0411"/>
    <w:rsid w:val="001C0675"/>
    <w:rsid w:val="001C0999"/>
    <w:rsid w:val="001C0B87"/>
    <w:rsid w:val="001C1022"/>
    <w:rsid w:val="001C11D6"/>
    <w:rsid w:val="001C1295"/>
    <w:rsid w:val="001C175C"/>
    <w:rsid w:val="001C1D1F"/>
    <w:rsid w:val="001C1EC8"/>
    <w:rsid w:val="001C22A7"/>
    <w:rsid w:val="001C2B60"/>
    <w:rsid w:val="001C2E16"/>
    <w:rsid w:val="001C359C"/>
    <w:rsid w:val="001C3637"/>
    <w:rsid w:val="001C3CDE"/>
    <w:rsid w:val="001C417F"/>
    <w:rsid w:val="001C4238"/>
    <w:rsid w:val="001C4759"/>
    <w:rsid w:val="001C4C5D"/>
    <w:rsid w:val="001C4D00"/>
    <w:rsid w:val="001C4FBD"/>
    <w:rsid w:val="001C510B"/>
    <w:rsid w:val="001C519D"/>
    <w:rsid w:val="001C5A55"/>
    <w:rsid w:val="001C5B18"/>
    <w:rsid w:val="001C5C92"/>
    <w:rsid w:val="001C63D1"/>
    <w:rsid w:val="001C6626"/>
    <w:rsid w:val="001C6953"/>
    <w:rsid w:val="001C6D97"/>
    <w:rsid w:val="001C6E60"/>
    <w:rsid w:val="001C6EE9"/>
    <w:rsid w:val="001C725E"/>
    <w:rsid w:val="001C7385"/>
    <w:rsid w:val="001D009E"/>
    <w:rsid w:val="001D02A2"/>
    <w:rsid w:val="001D0463"/>
    <w:rsid w:val="001D0603"/>
    <w:rsid w:val="001D0759"/>
    <w:rsid w:val="001D0B08"/>
    <w:rsid w:val="001D0F96"/>
    <w:rsid w:val="001D0FB5"/>
    <w:rsid w:val="001D1485"/>
    <w:rsid w:val="001D16DF"/>
    <w:rsid w:val="001D197C"/>
    <w:rsid w:val="001D1C50"/>
    <w:rsid w:val="001D1D16"/>
    <w:rsid w:val="001D24B6"/>
    <w:rsid w:val="001D2821"/>
    <w:rsid w:val="001D2C21"/>
    <w:rsid w:val="001D2D0A"/>
    <w:rsid w:val="001D3320"/>
    <w:rsid w:val="001D3426"/>
    <w:rsid w:val="001D3878"/>
    <w:rsid w:val="001D3AC5"/>
    <w:rsid w:val="001D3B01"/>
    <w:rsid w:val="001D3DCC"/>
    <w:rsid w:val="001D3F75"/>
    <w:rsid w:val="001D4544"/>
    <w:rsid w:val="001D48AB"/>
    <w:rsid w:val="001D4966"/>
    <w:rsid w:val="001D4C4C"/>
    <w:rsid w:val="001D53E2"/>
    <w:rsid w:val="001D5454"/>
    <w:rsid w:val="001D55C7"/>
    <w:rsid w:val="001D5AD9"/>
    <w:rsid w:val="001D5C46"/>
    <w:rsid w:val="001D5E37"/>
    <w:rsid w:val="001D5F04"/>
    <w:rsid w:val="001D614E"/>
    <w:rsid w:val="001D6805"/>
    <w:rsid w:val="001D6A25"/>
    <w:rsid w:val="001D6AC7"/>
    <w:rsid w:val="001D6E41"/>
    <w:rsid w:val="001D7379"/>
    <w:rsid w:val="001D7680"/>
    <w:rsid w:val="001D7868"/>
    <w:rsid w:val="001D7AED"/>
    <w:rsid w:val="001E1037"/>
    <w:rsid w:val="001E15DF"/>
    <w:rsid w:val="001E19C1"/>
    <w:rsid w:val="001E1ED3"/>
    <w:rsid w:val="001E246C"/>
    <w:rsid w:val="001E2839"/>
    <w:rsid w:val="001E29AB"/>
    <w:rsid w:val="001E2B23"/>
    <w:rsid w:val="001E2B9E"/>
    <w:rsid w:val="001E3000"/>
    <w:rsid w:val="001E32FF"/>
    <w:rsid w:val="001E36D9"/>
    <w:rsid w:val="001E3D35"/>
    <w:rsid w:val="001E4288"/>
    <w:rsid w:val="001E49CD"/>
    <w:rsid w:val="001E4C70"/>
    <w:rsid w:val="001E4D82"/>
    <w:rsid w:val="001E55E7"/>
    <w:rsid w:val="001E5EFC"/>
    <w:rsid w:val="001E5F8B"/>
    <w:rsid w:val="001E6FF0"/>
    <w:rsid w:val="001E77D8"/>
    <w:rsid w:val="001E78F7"/>
    <w:rsid w:val="001E797F"/>
    <w:rsid w:val="001E79FB"/>
    <w:rsid w:val="001E7A10"/>
    <w:rsid w:val="001E7DF5"/>
    <w:rsid w:val="001F010F"/>
    <w:rsid w:val="001F0135"/>
    <w:rsid w:val="001F0235"/>
    <w:rsid w:val="001F023A"/>
    <w:rsid w:val="001F06E7"/>
    <w:rsid w:val="001F0B0A"/>
    <w:rsid w:val="001F0DB9"/>
    <w:rsid w:val="001F111B"/>
    <w:rsid w:val="001F125D"/>
    <w:rsid w:val="001F250B"/>
    <w:rsid w:val="001F254B"/>
    <w:rsid w:val="001F271A"/>
    <w:rsid w:val="001F298B"/>
    <w:rsid w:val="001F2EBC"/>
    <w:rsid w:val="001F30DE"/>
    <w:rsid w:val="001F3697"/>
    <w:rsid w:val="001F3FD9"/>
    <w:rsid w:val="001F4183"/>
    <w:rsid w:val="001F41C4"/>
    <w:rsid w:val="001F42FD"/>
    <w:rsid w:val="001F4A04"/>
    <w:rsid w:val="001F5023"/>
    <w:rsid w:val="001F55AA"/>
    <w:rsid w:val="001F5756"/>
    <w:rsid w:val="001F5973"/>
    <w:rsid w:val="001F5CFB"/>
    <w:rsid w:val="001F636A"/>
    <w:rsid w:val="001F65EB"/>
    <w:rsid w:val="001F7016"/>
    <w:rsid w:val="001F72F2"/>
    <w:rsid w:val="001F7321"/>
    <w:rsid w:val="001F78CE"/>
    <w:rsid w:val="001F7ECD"/>
    <w:rsid w:val="001F7F92"/>
    <w:rsid w:val="002000D9"/>
    <w:rsid w:val="0020022C"/>
    <w:rsid w:val="00200322"/>
    <w:rsid w:val="0020039D"/>
    <w:rsid w:val="00200503"/>
    <w:rsid w:val="0020053F"/>
    <w:rsid w:val="00200843"/>
    <w:rsid w:val="00200B15"/>
    <w:rsid w:val="002015CA"/>
    <w:rsid w:val="00201798"/>
    <w:rsid w:val="00201866"/>
    <w:rsid w:val="00201A54"/>
    <w:rsid w:val="00201C8E"/>
    <w:rsid w:val="00201D95"/>
    <w:rsid w:val="00201EF3"/>
    <w:rsid w:val="00202150"/>
    <w:rsid w:val="00202449"/>
    <w:rsid w:val="002029BD"/>
    <w:rsid w:val="00202AF1"/>
    <w:rsid w:val="00202C09"/>
    <w:rsid w:val="00202C10"/>
    <w:rsid w:val="002030A1"/>
    <w:rsid w:val="00203467"/>
    <w:rsid w:val="002040D3"/>
    <w:rsid w:val="002044F6"/>
    <w:rsid w:val="00204946"/>
    <w:rsid w:val="00204B36"/>
    <w:rsid w:val="00204BDD"/>
    <w:rsid w:val="00204D1A"/>
    <w:rsid w:val="00205265"/>
    <w:rsid w:val="002052AA"/>
    <w:rsid w:val="002054CF"/>
    <w:rsid w:val="002055D0"/>
    <w:rsid w:val="002057FE"/>
    <w:rsid w:val="0020590D"/>
    <w:rsid w:val="00205B10"/>
    <w:rsid w:val="002062CB"/>
    <w:rsid w:val="002068D4"/>
    <w:rsid w:val="0020691B"/>
    <w:rsid w:val="0020707B"/>
    <w:rsid w:val="0020757C"/>
    <w:rsid w:val="00210E6E"/>
    <w:rsid w:val="002114DF"/>
    <w:rsid w:val="00211E51"/>
    <w:rsid w:val="00212657"/>
    <w:rsid w:val="00212A15"/>
    <w:rsid w:val="00212FF1"/>
    <w:rsid w:val="00213191"/>
    <w:rsid w:val="00213BAA"/>
    <w:rsid w:val="00214074"/>
    <w:rsid w:val="0021407A"/>
    <w:rsid w:val="002142A5"/>
    <w:rsid w:val="002148CB"/>
    <w:rsid w:val="00214FAC"/>
    <w:rsid w:val="00216016"/>
    <w:rsid w:val="002166C5"/>
    <w:rsid w:val="002167AB"/>
    <w:rsid w:val="00216FF8"/>
    <w:rsid w:val="002172EE"/>
    <w:rsid w:val="00217594"/>
    <w:rsid w:val="0021792D"/>
    <w:rsid w:val="00217D62"/>
    <w:rsid w:val="00217DBF"/>
    <w:rsid w:val="00220193"/>
    <w:rsid w:val="002203D5"/>
    <w:rsid w:val="002205E7"/>
    <w:rsid w:val="00220857"/>
    <w:rsid w:val="00220B3E"/>
    <w:rsid w:val="00220DC1"/>
    <w:rsid w:val="00220F8A"/>
    <w:rsid w:val="002212DE"/>
    <w:rsid w:val="00221608"/>
    <w:rsid w:val="00221F8A"/>
    <w:rsid w:val="00221FE1"/>
    <w:rsid w:val="00222A99"/>
    <w:rsid w:val="00222CE5"/>
    <w:rsid w:val="00222F21"/>
    <w:rsid w:val="00223725"/>
    <w:rsid w:val="00223C58"/>
    <w:rsid w:val="00224701"/>
    <w:rsid w:val="002247B6"/>
    <w:rsid w:val="00224B71"/>
    <w:rsid w:val="00224D09"/>
    <w:rsid w:val="00225068"/>
    <w:rsid w:val="00225717"/>
    <w:rsid w:val="0022588F"/>
    <w:rsid w:val="00225C0D"/>
    <w:rsid w:val="00225D69"/>
    <w:rsid w:val="00225E58"/>
    <w:rsid w:val="00226401"/>
    <w:rsid w:val="0022693D"/>
    <w:rsid w:val="00227052"/>
    <w:rsid w:val="002271E1"/>
    <w:rsid w:val="002272EB"/>
    <w:rsid w:val="00227597"/>
    <w:rsid w:val="00227756"/>
    <w:rsid w:val="00227797"/>
    <w:rsid w:val="00227D98"/>
    <w:rsid w:val="00227DD6"/>
    <w:rsid w:val="00227E6A"/>
    <w:rsid w:val="00230205"/>
    <w:rsid w:val="00230C3F"/>
    <w:rsid w:val="00230C8D"/>
    <w:rsid w:val="00230D57"/>
    <w:rsid w:val="00230D9B"/>
    <w:rsid w:val="00230E4D"/>
    <w:rsid w:val="00230FF9"/>
    <w:rsid w:val="00231701"/>
    <w:rsid w:val="00231AE8"/>
    <w:rsid w:val="002320CC"/>
    <w:rsid w:val="002325F3"/>
    <w:rsid w:val="002327AD"/>
    <w:rsid w:val="002328C3"/>
    <w:rsid w:val="00232A4F"/>
    <w:rsid w:val="00232FBC"/>
    <w:rsid w:val="002332AB"/>
    <w:rsid w:val="00233387"/>
    <w:rsid w:val="002334D5"/>
    <w:rsid w:val="0023361C"/>
    <w:rsid w:val="00233624"/>
    <w:rsid w:val="00233685"/>
    <w:rsid w:val="0023393E"/>
    <w:rsid w:val="00234228"/>
    <w:rsid w:val="00234398"/>
    <w:rsid w:val="00234468"/>
    <w:rsid w:val="00234BFC"/>
    <w:rsid w:val="00234E3E"/>
    <w:rsid w:val="00235294"/>
    <w:rsid w:val="00235349"/>
    <w:rsid w:val="00235444"/>
    <w:rsid w:val="00235933"/>
    <w:rsid w:val="00235A5A"/>
    <w:rsid w:val="00235D51"/>
    <w:rsid w:val="0023600B"/>
    <w:rsid w:val="00236D2F"/>
    <w:rsid w:val="00236F85"/>
    <w:rsid w:val="0023708C"/>
    <w:rsid w:val="00237875"/>
    <w:rsid w:val="00237886"/>
    <w:rsid w:val="0023792F"/>
    <w:rsid w:val="00237CD9"/>
    <w:rsid w:val="00240016"/>
    <w:rsid w:val="00240056"/>
    <w:rsid w:val="002402E6"/>
    <w:rsid w:val="002408AE"/>
    <w:rsid w:val="00240AAD"/>
    <w:rsid w:val="00240B8B"/>
    <w:rsid w:val="00240F54"/>
    <w:rsid w:val="0024146D"/>
    <w:rsid w:val="00241711"/>
    <w:rsid w:val="00241ACE"/>
    <w:rsid w:val="00241B51"/>
    <w:rsid w:val="00241F12"/>
    <w:rsid w:val="0024200F"/>
    <w:rsid w:val="002426AA"/>
    <w:rsid w:val="0024279F"/>
    <w:rsid w:val="002428FA"/>
    <w:rsid w:val="00242ECB"/>
    <w:rsid w:val="00243598"/>
    <w:rsid w:val="002436FB"/>
    <w:rsid w:val="00243785"/>
    <w:rsid w:val="00243C87"/>
    <w:rsid w:val="002441A4"/>
    <w:rsid w:val="0024446A"/>
    <w:rsid w:val="00244673"/>
    <w:rsid w:val="00244EB1"/>
    <w:rsid w:val="002450A3"/>
    <w:rsid w:val="002450F5"/>
    <w:rsid w:val="0024557B"/>
    <w:rsid w:val="002458A0"/>
    <w:rsid w:val="00245AC3"/>
    <w:rsid w:val="00245C0B"/>
    <w:rsid w:val="00245E14"/>
    <w:rsid w:val="002467D3"/>
    <w:rsid w:val="00246856"/>
    <w:rsid w:val="00246C1E"/>
    <w:rsid w:val="00246E01"/>
    <w:rsid w:val="00247071"/>
    <w:rsid w:val="00247254"/>
    <w:rsid w:val="002478EC"/>
    <w:rsid w:val="00247A4D"/>
    <w:rsid w:val="00247B8D"/>
    <w:rsid w:val="00247C65"/>
    <w:rsid w:val="00250495"/>
    <w:rsid w:val="002507AF"/>
    <w:rsid w:val="002508AA"/>
    <w:rsid w:val="002508CB"/>
    <w:rsid w:val="00250BBC"/>
    <w:rsid w:val="00251403"/>
    <w:rsid w:val="002518DE"/>
    <w:rsid w:val="002528CA"/>
    <w:rsid w:val="00252FD6"/>
    <w:rsid w:val="00253028"/>
    <w:rsid w:val="0025324E"/>
    <w:rsid w:val="002534F4"/>
    <w:rsid w:val="00253A4E"/>
    <w:rsid w:val="00253AA7"/>
    <w:rsid w:val="00253B10"/>
    <w:rsid w:val="00253EC6"/>
    <w:rsid w:val="00254079"/>
    <w:rsid w:val="002540BD"/>
    <w:rsid w:val="002545A1"/>
    <w:rsid w:val="00254C9C"/>
    <w:rsid w:val="00254E5B"/>
    <w:rsid w:val="00255029"/>
    <w:rsid w:val="002551DD"/>
    <w:rsid w:val="002551F9"/>
    <w:rsid w:val="002559E1"/>
    <w:rsid w:val="002563E6"/>
    <w:rsid w:val="00256400"/>
    <w:rsid w:val="00256817"/>
    <w:rsid w:val="00256845"/>
    <w:rsid w:val="002574E3"/>
    <w:rsid w:val="00257A71"/>
    <w:rsid w:val="00257F45"/>
    <w:rsid w:val="002601B6"/>
    <w:rsid w:val="002601EC"/>
    <w:rsid w:val="00260459"/>
    <w:rsid w:val="00260543"/>
    <w:rsid w:val="002606F7"/>
    <w:rsid w:val="0026073E"/>
    <w:rsid w:val="002609CC"/>
    <w:rsid w:val="00261193"/>
    <w:rsid w:val="00261203"/>
    <w:rsid w:val="00261254"/>
    <w:rsid w:val="00261263"/>
    <w:rsid w:val="00261459"/>
    <w:rsid w:val="00261522"/>
    <w:rsid w:val="0026157F"/>
    <w:rsid w:val="00261839"/>
    <w:rsid w:val="002621C3"/>
    <w:rsid w:val="002623FF"/>
    <w:rsid w:val="002625B8"/>
    <w:rsid w:val="00262D7E"/>
    <w:rsid w:val="002638B1"/>
    <w:rsid w:val="002639B8"/>
    <w:rsid w:val="002643FE"/>
    <w:rsid w:val="002649E6"/>
    <w:rsid w:val="00264FD6"/>
    <w:rsid w:val="00265066"/>
    <w:rsid w:val="002651D3"/>
    <w:rsid w:val="00265767"/>
    <w:rsid w:val="00265EC0"/>
    <w:rsid w:val="00265EF7"/>
    <w:rsid w:val="00265F2C"/>
    <w:rsid w:val="002662E5"/>
    <w:rsid w:val="002665F6"/>
    <w:rsid w:val="002669FC"/>
    <w:rsid w:val="00266D7C"/>
    <w:rsid w:val="0026718D"/>
    <w:rsid w:val="0026791B"/>
    <w:rsid w:val="00267E6C"/>
    <w:rsid w:val="00270644"/>
    <w:rsid w:val="00270811"/>
    <w:rsid w:val="002708C6"/>
    <w:rsid w:val="00270988"/>
    <w:rsid w:val="00270C74"/>
    <w:rsid w:val="00270C8C"/>
    <w:rsid w:val="00270DBE"/>
    <w:rsid w:val="00270EF2"/>
    <w:rsid w:val="002711EB"/>
    <w:rsid w:val="002712D1"/>
    <w:rsid w:val="002715CE"/>
    <w:rsid w:val="00271B91"/>
    <w:rsid w:val="002725F6"/>
    <w:rsid w:val="0027261A"/>
    <w:rsid w:val="002726DF"/>
    <w:rsid w:val="00272977"/>
    <w:rsid w:val="00273023"/>
    <w:rsid w:val="00273C23"/>
    <w:rsid w:val="00274007"/>
    <w:rsid w:val="0027409F"/>
    <w:rsid w:val="002741DE"/>
    <w:rsid w:val="0027485E"/>
    <w:rsid w:val="00275120"/>
    <w:rsid w:val="00275378"/>
    <w:rsid w:val="00275892"/>
    <w:rsid w:val="002758E1"/>
    <w:rsid w:val="00275B40"/>
    <w:rsid w:val="00275C82"/>
    <w:rsid w:val="00275F67"/>
    <w:rsid w:val="002761F5"/>
    <w:rsid w:val="00276671"/>
    <w:rsid w:val="00276813"/>
    <w:rsid w:val="002768E4"/>
    <w:rsid w:val="0027690F"/>
    <w:rsid w:val="00276A9D"/>
    <w:rsid w:val="00276D49"/>
    <w:rsid w:val="00277326"/>
    <w:rsid w:val="0027744E"/>
    <w:rsid w:val="00277E87"/>
    <w:rsid w:val="00280DF1"/>
    <w:rsid w:val="00280DF6"/>
    <w:rsid w:val="002810FC"/>
    <w:rsid w:val="0028116F"/>
    <w:rsid w:val="00282091"/>
    <w:rsid w:val="002824E5"/>
    <w:rsid w:val="002824E7"/>
    <w:rsid w:val="00282579"/>
    <w:rsid w:val="0028274F"/>
    <w:rsid w:val="00282800"/>
    <w:rsid w:val="00282864"/>
    <w:rsid w:val="002828B4"/>
    <w:rsid w:val="00282922"/>
    <w:rsid w:val="00282C83"/>
    <w:rsid w:val="00282D7C"/>
    <w:rsid w:val="002832B3"/>
    <w:rsid w:val="0028341A"/>
    <w:rsid w:val="00283422"/>
    <w:rsid w:val="00283DA5"/>
    <w:rsid w:val="00284231"/>
    <w:rsid w:val="002845A4"/>
    <w:rsid w:val="00284CA4"/>
    <w:rsid w:val="00284E8E"/>
    <w:rsid w:val="0028573A"/>
    <w:rsid w:val="00285969"/>
    <w:rsid w:val="002859DB"/>
    <w:rsid w:val="00285D68"/>
    <w:rsid w:val="00285E4F"/>
    <w:rsid w:val="002860CC"/>
    <w:rsid w:val="00286270"/>
    <w:rsid w:val="0028641A"/>
    <w:rsid w:val="002865D3"/>
    <w:rsid w:val="00286737"/>
    <w:rsid w:val="00286A88"/>
    <w:rsid w:val="00286BEC"/>
    <w:rsid w:val="00286D48"/>
    <w:rsid w:val="002878AC"/>
    <w:rsid w:val="00287AEE"/>
    <w:rsid w:val="00287DDD"/>
    <w:rsid w:val="002905FC"/>
    <w:rsid w:val="002907E7"/>
    <w:rsid w:val="00290AB8"/>
    <w:rsid w:val="00290AE7"/>
    <w:rsid w:val="00290CB8"/>
    <w:rsid w:val="00290FFA"/>
    <w:rsid w:val="0029108A"/>
    <w:rsid w:val="0029183D"/>
    <w:rsid w:val="00291F62"/>
    <w:rsid w:val="002923B0"/>
    <w:rsid w:val="002929EC"/>
    <w:rsid w:val="00292A50"/>
    <w:rsid w:val="00292CAE"/>
    <w:rsid w:val="00292CC0"/>
    <w:rsid w:val="00293294"/>
    <w:rsid w:val="00293301"/>
    <w:rsid w:val="002935A6"/>
    <w:rsid w:val="00293779"/>
    <w:rsid w:val="002938B6"/>
    <w:rsid w:val="00293AAB"/>
    <w:rsid w:val="00293E42"/>
    <w:rsid w:val="00294B49"/>
    <w:rsid w:val="00294BAE"/>
    <w:rsid w:val="00294C3C"/>
    <w:rsid w:val="00295620"/>
    <w:rsid w:val="0029567B"/>
    <w:rsid w:val="002958F9"/>
    <w:rsid w:val="00295B89"/>
    <w:rsid w:val="00295D2A"/>
    <w:rsid w:val="00296237"/>
    <w:rsid w:val="00296808"/>
    <w:rsid w:val="00296C28"/>
    <w:rsid w:val="00296CAA"/>
    <w:rsid w:val="00296DF8"/>
    <w:rsid w:val="00296F1A"/>
    <w:rsid w:val="00296FBB"/>
    <w:rsid w:val="002975EB"/>
    <w:rsid w:val="00297A7A"/>
    <w:rsid w:val="00297A94"/>
    <w:rsid w:val="00297CA3"/>
    <w:rsid w:val="00297E90"/>
    <w:rsid w:val="002A01AC"/>
    <w:rsid w:val="002A032C"/>
    <w:rsid w:val="002A0472"/>
    <w:rsid w:val="002A06F0"/>
    <w:rsid w:val="002A08FC"/>
    <w:rsid w:val="002A08FE"/>
    <w:rsid w:val="002A09B3"/>
    <w:rsid w:val="002A0B73"/>
    <w:rsid w:val="002A0C80"/>
    <w:rsid w:val="002A1149"/>
    <w:rsid w:val="002A1216"/>
    <w:rsid w:val="002A15A1"/>
    <w:rsid w:val="002A18EA"/>
    <w:rsid w:val="002A1E4F"/>
    <w:rsid w:val="002A2231"/>
    <w:rsid w:val="002A2379"/>
    <w:rsid w:val="002A255A"/>
    <w:rsid w:val="002A2FFE"/>
    <w:rsid w:val="002A3044"/>
    <w:rsid w:val="002A3C74"/>
    <w:rsid w:val="002A3C9A"/>
    <w:rsid w:val="002A4195"/>
    <w:rsid w:val="002A434A"/>
    <w:rsid w:val="002A4971"/>
    <w:rsid w:val="002A4B28"/>
    <w:rsid w:val="002A53A7"/>
    <w:rsid w:val="002A5570"/>
    <w:rsid w:val="002A5620"/>
    <w:rsid w:val="002A57F1"/>
    <w:rsid w:val="002A5A87"/>
    <w:rsid w:val="002A5BB5"/>
    <w:rsid w:val="002A7BBB"/>
    <w:rsid w:val="002A7EB1"/>
    <w:rsid w:val="002A7EBA"/>
    <w:rsid w:val="002A7FB8"/>
    <w:rsid w:val="002B0793"/>
    <w:rsid w:val="002B0DCC"/>
    <w:rsid w:val="002B1121"/>
    <w:rsid w:val="002B16BC"/>
    <w:rsid w:val="002B1891"/>
    <w:rsid w:val="002B1C0D"/>
    <w:rsid w:val="002B225B"/>
    <w:rsid w:val="002B24D9"/>
    <w:rsid w:val="002B2580"/>
    <w:rsid w:val="002B25B7"/>
    <w:rsid w:val="002B25DA"/>
    <w:rsid w:val="002B2972"/>
    <w:rsid w:val="002B29B4"/>
    <w:rsid w:val="002B2A12"/>
    <w:rsid w:val="002B37CF"/>
    <w:rsid w:val="002B3814"/>
    <w:rsid w:val="002B3868"/>
    <w:rsid w:val="002B4176"/>
    <w:rsid w:val="002B442D"/>
    <w:rsid w:val="002B4698"/>
    <w:rsid w:val="002B46B8"/>
    <w:rsid w:val="002B4A5C"/>
    <w:rsid w:val="002B4AC2"/>
    <w:rsid w:val="002B4D6E"/>
    <w:rsid w:val="002B4EEA"/>
    <w:rsid w:val="002B506E"/>
    <w:rsid w:val="002B50AE"/>
    <w:rsid w:val="002B5190"/>
    <w:rsid w:val="002B53F4"/>
    <w:rsid w:val="002B57EC"/>
    <w:rsid w:val="002B5834"/>
    <w:rsid w:val="002B59B5"/>
    <w:rsid w:val="002B5B6F"/>
    <w:rsid w:val="002B5E8A"/>
    <w:rsid w:val="002B633F"/>
    <w:rsid w:val="002B69ED"/>
    <w:rsid w:val="002B6F40"/>
    <w:rsid w:val="002B7B98"/>
    <w:rsid w:val="002B7BB5"/>
    <w:rsid w:val="002B7E6B"/>
    <w:rsid w:val="002B7EC7"/>
    <w:rsid w:val="002C0028"/>
    <w:rsid w:val="002C0764"/>
    <w:rsid w:val="002C091E"/>
    <w:rsid w:val="002C0BA0"/>
    <w:rsid w:val="002C10C1"/>
    <w:rsid w:val="002C116C"/>
    <w:rsid w:val="002C1403"/>
    <w:rsid w:val="002C1465"/>
    <w:rsid w:val="002C1823"/>
    <w:rsid w:val="002C1A49"/>
    <w:rsid w:val="002C1D9F"/>
    <w:rsid w:val="002C1E87"/>
    <w:rsid w:val="002C1F4C"/>
    <w:rsid w:val="002C22EB"/>
    <w:rsid w:val="002C238C"/>
    <w:rsid w:val="002C26D7"/>
    <w:rsid w:val="002C28BE"/>
    <w:rsid w:val="002C317E"/>
    <w:rsid w:val="002C3658"/>
    <w:rsid w:val="002C36A2"/>
    <w:rsid w:val="002C3813"/>
    <w:rsid w:val="002C41F8"/>
    <w:rsid w:val="002C44B3"/>
    <w:rsid w:val="002C4510"/>
    <w:rsid w:val="002C46EC"/>
    <w:rsid w:val="002C4885"/>
    <w:rsid w:val="002C5228"/>
    <w:rsid w:val="002C5843"/>
    <w:rsid w:val="002C590F"/>
    <w:rsid w:val="002C662E"/>
    <w:rsid w:val="002C666C"/>
    <w:rsid w:val="002C729F"/>
    <w:rsid w:val="002C7340"/>
    <w:rsid w:val="002D003B"/>
    <w:rsid w:val="002D0734"/>
    <w:rsid w:val="002D0C41"/>
    <w:rsid w:val="002D1329"/>
    <w:rsid w:val="002D1470"/>
    <w:rsid w:val="002D14B5"/>
    <w:rsid w:val="002D1503"/>
    <w:rsid w:val="002D150F"/>
    <w:rsid w:val="002D1930"/>
    <w:rsid w:val="002D1B98"/>
    <w:rsid w:val="002D2121"/>
    <w:rsid w:val="002D2600"/>
    <w:rsid w:val="002D290F"/>
    <w:rsid w:val="002D2F04"/>
    <w:rsid w:val="002D309C"/>
    <w:rsid w:val="002D31E6"/>
    <w:rsid w:val="002D3309"/>
    <w:rsid w:val="002D3440"/>
    <w:rsid w:val="002D3B40"/>
    <w:rsid w:val="002D3BFE"/>
    <w:rsid w:val="002D44FE"/>
    <w:rsid w:val="002D4702"/>
    <w:rsid w:val="002D4C84"/>
    <w:rsid w:val="002D4DDD"/>
    <w:rsid w:val="002D4F43"/>
    <w:rsid w:val="002D5493"/>
    <w:rsid w:val="002D59D7"/>
    <w:rsid w:val="002D5D05"/>
    <w:rsid w:val="002D608D"/>
    <w:rsid w:val="002D61EE"/>
    <w:rsid w:val="002D640B"/>
    <w:rsid w:val="002D6443"/>
    <w:rsid w:val="002D67CE"/>
    <w:rsid w:val="002D6CB8"/>
    <w:rsid w:val="002D6DE5"/>
    <w:rsid w:val="002D6F3B"/>
    <w:rsid w:val="002D703D"/>
    <w:rsid w:val="002D706B"/>
    <w:rsid w:val="002D71D0"/>
    <w:rsid w:val="002D7527"/>
    <w:rsid w:val="002D763A"/>
    <w:rsid w:val="002D7693"/>
    <w:rsid w:val="002D7B61"/>
    <w:rsid w:val="002D7E27"/>
    <w:rsid w:val="002D7E52"/>
    <w:rsid w:val="002E0C4F"/>
    <w:rsid w:val="002E0F03"/>
    <w:rsid w:val="002E101D"/>
    <w:rsid w:val="002E1370"/>
    <w:rsid w:val="002E1492"/>
    <w:rsid w:val="002E18AF"/>
    <w:rsid w:val="002E1B9E"/>
    <w:rsid w:val="002E1CE5"/>
    <w:rsid w:val="002E1FC5"/>
    <w:rsid w:val="002E2012"/>
    <w:rsid w:val="002E2136"/>
    <w:rsid w:val="002E21EB"/>
    <w:rsid w:val="002E2294"/>
    <w:rsid w:val="002E239E"/>
    <w:rsid w:val="002E25D6"/>
    <w:rsid w:val="002E2A01"/>
    <w:rsid w:val="002E2B8F"/>
    <w:rsid w:val="002E2C72"/>
    <w:rsid w:val="002E2C84"/>
    <w:rsid w:val="002E2DEE"/>
    <w:rsid w:val="002E32C4"/>
    <w:rsid w:val="002E3495"/>
    <w:rsid w:val="002E3C0F"/>
    <w:rsid w:val="002E3C46"/>
    <w:rsid w:val="002E41C5"/>
    <w:rsid w:val="002E41C9"/>
    <w:rsid w:val="002E42B4"/>
    <w:rsid w:val="002E431D"/>
    <w:rsid w:val="002E47C8"/>
    <w:rsid w:val="002E4836"/>
    <w:rsid w:val="002E51ED"/>
    <w:rsid w:val="002E533C"/>
    <w:rsid w:val="002E535C"/>
    <w:rsid w:val="002E55E4"/>
    <w:rsid w:val="002E56FD"/>
    <w:rsid w:val="002E57EA"/>
    <w:rsid w:val="002E58B7"/>
    <w:rsid w:val="002E5EC2"/>
    <w:rsid w:val="002E5FBC"/>
    <w:rsid w:val="002E606B"/>
    <w:rsid w:val="002E6150"/>
    <w:rsid w:val="002E62E3"/>
    <w:rsid w:val="002E6378"/>
    <w:rsid w:val="002E6941"/>
    <w:rsid w:val="002E7178"/>
    <w:rsid w:val="002E73BB"/>
    <w:rsid w:val="002E751F"/>
    <w:rsid w:val="002E7669"/>
    <w:rsid w:val="002E775D"/>
    <w:rsid w:val="002E796A"/>
    <w:rsid w:val="002E7BD6"/>
    <w:rsid w:val="002E7DAD"/>
    <w:rsid w:val="002E7DC5"/>
    <w:rsid w:val="002E7DF7"/>
    <w:rsid w:val="002E7E2D"/>
    <w:rsid w:val="002F009E"/>
    <w:rsid w:val="002F011C"/>
    <w:rsid w:val="002F036A"/>
    <w:rsid w:val="002F055F"/>
    <w:rsid w:val="002F0603"/>
    <w:rsid w:val="002F0713"/>
    <w:rsid w:val="002F0839"/>
    <w:rsid w:val="002F0857"/>
    <w:rsid w:val="002F0B20"/>
    <w:rsid w:val="002F0F6E"/>
    <w:rsid w:val="002F1B92"/>
    <w:rsid w:val="002F25B1"/>
    <w:rsid w:val="002F25DA"/>
    <w:rsid w:val="002F2B17"/>
    <w:rsid w:val="002F2B85"/>
    <w:rsid w:val="002F2C9A"/>
    <w:rsid w:val="002F31B0"/>
    <w:rsid w:val="002F34BA"/>
    <w:rsid w:val="002F3F5E"/>
    <w:rsid w:val="002F4042"/>
    <w:rsid w:val="002F4466"/>
    <w:rsid w:val="002F4AED"/>
    <w:rsid w:val="002F4DC5"/>
    <w:rsid w:val="002F50C2"/>
    <w:rsid w:val="002F5385"/>
    <w:rsid w:val="002F5C4A"/>
    <w:rsid w:val="002F60C2"/>
    <w:rsid w:val="002F701D"/>
    <w:rsid w:val="002F70BF"/>
    <w:rsid w:val="002F769F"/>
    <w:rsid w:val="002F7EAA"/>
    <w:rsid w:val="00300199"/>
    <w:rsid w:val="00300796"/>
    <w:rsid w:val="00301181"/>
    <w:rsid w:val="00301392"/>
    <w:rsid w:val="003013C7"/>
    <w:rsid w:val="00301598"/>
    <w:rsid w:val="00301808"/>
    <w:rsid w:val="00301A3F"/>
    <w:rsid w:val="00301D35"/>
    <w:rsid w:val="003020CE"/>
    <w:rsid w:val="0030268D"/>
    <w:rsid w:val="003029A2"/>
    <w:rsid w:val="00302A7E"/>
    <w:rsid w:val="00302EB6"/>
    <w:rsid w:val="00302F18"/>
    <w:rsid w:val="003030AC"/>
    <w:rsid w:val="003031AA"/>
    <w:rsid w:val="0030329E"/>
    <w:rsid w:val="00303446"/>
    <w:rsid w:val="003036EF"/>
    <w:rsid w:val="00303753"/>
    <w:rsid w:val="00303CD0"/>
    <w:rsid w:val="00304303"/>
    <w:rsid w:val="00304B63"/>
    <w:rsid w:val="00304BCC"/>
    <w:rsid w:val="00304C25"/>
    <w:rsid w:val="0030534E"/>
    <w:rsid w:val="00305492"/>
    <w:rsid w:val="00305CDE"/>
    <w:rsid w:val="00305DC4"/>
    <w:rsid w:val="00305EED"/>
    <w:rsid w:val="00306045"/>
    <w:rsid w:val="00306280"/>
    <w:rsid w:val="00306511"/>
    <w:rsid w:val="0030657C"/>
    <w:rsid w:val="003069E4"/>
    <w:rsid w:val="00306CAA"/>
    <w:rsid w:val="00307EA1"/>
    <w:rsid w:val="0031013A"/>
    <w:rsid w:val="0031058C"/>
    <w:rsid w:val="003108A9"/>
    <w:rsid w:val="00310FAD"/>
    <w:rsid w:val="0031130B"/>
    <w:rsid w:val="003115E2"/>
    <w:rsid w:val="00311C72"/>
    <w:rsid w:val="00311E1A"/>
    <w:rsid w:val="00312333"/>
    <w:rsid w:val="003124D7"/>
    <w:rsid w:val="00312558"/>
    <w:rsid w:val="00312571"/>
    <w:rsid w:val="00312ADF"/>
    <w:rsid w:val="00312E11"/>
    <w:rsid w:val="0031309E"/>
    <w:rsid w:val="00313527"/>
    <w:rsid w:val="0031366A"/>
    <w:rsid w:val="00313C6A"/>
    <w:rsid w:val="00313ED9"/>
    <w:rsid w:val="00313F25"/>
    <w:rsid w:val="003146B2"/>
    <w:rsid w:val="00314ADA"/>
    <w:rsid w:val="00314C62"/>
    <w:rsid w:val="00315090"/>
    <w:rsid w:val="003154F3"/>
    <w:rsid w:val="00315DB2"/>
    <w:rsid w:val="0031652E"/>
    <w:rsid w:val="003176E6"/>
    <w:rsid w:val="00317752"/>
    <w:rsid w:val="003203D0"/>
    <w:rsid w:val="003209A6"/>
    <w:rsid w:val="00320A6A"/>
    <w:rsid w:val="00320B91"/>
    <w:rsid w:val="00320BCC"/>
    <w:rsid w:val="00320D15"/>
    <w:rsid w:val="00320F0B"/>
    <w:rsid w:val="003210F7"/>
    <w:rsid w:val="003211E9"/>
    <w:rsid w:val="003212D7"/>
    <w:rsid w:val="003213D0"/>
    <w:rsid w:val="003214E2"/>
    <w:rsid w:val="0032177A"/>
    <w:rsid w:val="00321992"/>
    <w:rsid w:val="00321A92"/>
    <w:rsid w:val="003223D3"/>
    <w:rsid w:val="0032246D"/>
    <w:rsid w:val="0032249E"/>
    <w:rsid w:val="00322A68"/>
    <w:rsid w:val="00323121"/>
    <w:rsid w:val="0032366A"/>
    <w:rsid w:val="00323D54"/>
    <w:rsid w:val="0032489E"/>
    <w:rsid w:val="00324EC7"/>
    <w:rsid w:val="00324EE3"/>
    <w:rsid w:val="00325CEF"/>
    <w:rsid w:val="00325D5B"/>
    <w:rsid w:val="00325F53"/>
    <w:rsid w:val="00326D29"/>
    <w:rsid w:val="00326E37"/>
    <w:rsid w:val="00326F1D"/>
    <w:rsid w:val="00326F4B"/>
    <w:rsid w:val="00326FD9"/>
    <w:rsid w:val="0032716F"/>
    <w:rsid w:val="00327211"/>
    <w:rsid w:val="0032785B"/>
    <w:rsid w:val="00327DC9"/>
    <w:rsid w:val="00330107"/>
    <w:rsid w:val="00330320"/>
    <w:rsid w:val="003305CD"/>
    <w:rsid w:val="0033080C"/>
    <w:rsid w:val="003308AF"/>
    <w:rsid w:val="00330D65"/>
    <w:rsid w:val="00331319"/>
    <w:rsid w:val="00331431"/>
    <w:rsid w:val="003314CB"/>
    <w:rsid w:val="00331697"/>
    <w:rsid w:val="0033191E"/>
    <w:rsid w:val="003319CD"/>
    <w:rsid w:val="00331A1B"/>
    <w:rsid w:val="00331A75"/>
    <w:rsid w:val="00331AF1"/>
    <w:rsid w:val="00331B7E"/>
    <w:rsid w:val="00332698"/>
    <w:rsid w:val="00332AFB"/>
    <w:rsid w:val="00332FEB"/>
    <w:rsid w:val="0033300A"/>
    <w:rsid w:val="0033327C"/>
    <w:rsid w:val="00333627"/>
    <w:rsid w:val="00333863"/>
    <w:rsid w:val="003338C0"/>
    <w:rsid w:val="00333A4F"/>
    <w:rsid w:val="00333EF4"/>
    <w:rsid w:val="00334001"/>
    <w:rsid w:val="0033469D"/>
    <w:rsid w:val="00334C87"/>
    <w:rsid w:val="003355BE"/>
    <w:rsid w:val="00335919"/>
    <w:rsid w:val="0033610E"/>
    <w:rsid w:val="00336198"/>
    <w:rsid w:val="00336772"/>
    <w:rsid w:val="003367C6"/>
    <w:rsid w:val="00336B3D"/>
    <w:rsid w:val="00336C97"/>
    <w:rsid w:val="00336DF9"/>
    <w:rsid w:val="00337072"/>
    <w:rsid w:val="0033710F"/>
    <w:rsid w:val="00337272"/>
    <w:rsid w:val="003373C3"/>
    <w:rsid w:val="00340100"/>
    <w:rsid w:val="00340218"/>
    <w:rsid w:val="003402BD"/>
    <w:rsid w:val="003404D2"/>
    <w:rsid w:val="003405B1"/>
    <w:rsid w:val="00340853"/>
    <w:rsid w:val="00340885"/>
    <w:rsid w:val="00340C39"/>
    <w:rsid w:val="0034108D"/>
    <w:rsid w:val="003412D2"/>
    <w:rsid w:val="0034134A"/>
    <w:rsid w:val="00341489"/>
    <w:rsid w:val="0034165A"/>
    <w:rsid w:val="003419C8"/>
    <w:rsid w:val="003423E7"/>
    <w:rsid w:val="00342466"/>
    <w:rsid w:val="003427BA"/>
    <w:rsid w:val="00342F04"/>
    <w:rsid w:val="00343347"/>
    <w:rsid w:val="0034367E"/>
    <w:rsid w:val="00343C75"/>
    <w:rsid w:val="00344036"/>
    <w:rsid w:val="00344055"/>
    <w:rsid w:val="003441E6"/>
    <w:rsid w:val="003445AF"/>
    <w:rsid w:val="0034465B"/>
    <w:rsid w:val="003447E0"/>
    <w:rsid w:val="003453D4"/>
    <w:rsid w:val="003454F4"/>
    <w:rsid w:val="003459AA"/>
    <w:rsid w:val="003459D3"/>
    <w:rsid w:val="00345BB8"/>
    <w:rsid w:val="00345C7C"/>
    <w:rsid w:val="003460CF"/>
    <w:rsid w:val="0034642D"/>
    <w:rsid w:val="0034660E"/>
    <w:rsid w:val="003469AA"/>
    <w:rsid w:val="003469C2"/>
    <w:rsid w:val="00346CDD"/>
    <w:rsid w:val="0034722D"/>
    <w:rsid w:val="0034728B"/>
    <w:rsid w:val="0034750F"/>
    <w:rsid w:val="00347659"/>
    <w:rsid w:val="003477D7"/>
    <w:rsid w:val="0034786D"/>
    <w:rsid w:val="00347F62"/>
    <w:rsid w:val="003500DA"/>
    <w:rsid w:val="00350BBA"/>
    <w:rsid w:val="00351F9C"/>
    <w:rsid w:val="00352023"/>
    <w:rsid w:val="00352048"/>
    <w:rsid w:val="003525A9"/>
    <w:rsid w:val="00352A3D"/>
    <w:rsid w:val="00352E82"/>
    <w:rsid w:val="003532E2"/>
    <w:rsid w:val="00353304"/>
    <w:rsid w:val="00353A5C"/>
    <w:rsid w:val="00353E5F"/>
    <w:rsid w:val="0035403D"/>
    <w:rsid w:val="003540B0"/>
    <w:rsid w:val="00354227"/>
    <w:rsid w:val="0035490D"/>
    <w:rsid w:val="00354B06"/>
    <w:rsid w:val="00354D08"/>
    <w:rsid w:val="00354D73"/>
    <w:rsid w:val="00354F21"/>
    <w:rsid w:val="00355688"/>
    <w:rsid w:val="00355C34"/>
    <w:rsid w:val="00355C48"/>
    <w:rsid w:val="003561DA"/>
    <w:rsid w:val="0035642F"/>
    <w:rsid w:val="00356876"/>
    <w:rsid w:val="003575DC"/>
    <w:rsid w:val="00357B71"/>
    <w:rsid w:val="00357D3F"/>
    <w:rsid w:val="00357E7F"/>
    <w:rsid w:val="00360261"/>
    <w:rsid w:val="00360457"/>
    <w:rsid w:val="00360494"/>
    <w:rsid w:val="0036060C"/>
    <w:rsid w:val="0036082A"/>
    <w:rsid w:val="0036089F"/>
    <w:rsid w:val="00360A5B"/>
    <w:rsid w:val="00361555"/>
    <w:rsid w:val="00361908"/>
    <w:rsid w:val="003619FB"/>
    <w:rsid w:val="00361A0A"/>
    <w:rsid w:val="00361B38"/>
    <w:rsid w:val="00362007"/>
    <w:rsid w:val="00362819"/>
    <w:rsid w:val="003629B4"/>
    <w:rsid w:val="00362CA4"/>
    <w:rsid w:val="00362F3E"/>
    <w:rsid w:val="00362F5D"/>
    <w:rsid w:val="003631B6"/>
    <w:rsid w:val="00363369"/>
    <w:rsid w:val="003634CF"/>
    <w:rsid w:val="00363780"/>
    <w:rsid w:val="00363B0B"/>
    <w:rsid w:val="00363D25"/>
    <w:rsid w:val="00363FCE"/>
    <w:rsid w:val="00364038"/>
    <w:rsid w:val="0036428A"/>
    <w:rsid w:val="00364410"/>
    <w:rsid w:val="0036446F"/>
    <w:rsid w:val="003645FE"/>
    <w:rsid w:val="00364B9D"/>
    <w:rsid w:val="00364F0A"/>
    <w:rsid w:val="0036585E"/>
    <w:rsid w:val="00365E90"/>
    <w:rsid w:val="0036612C"/>
    <w:rsid w:val="003665AE"/>
    <w:rsid w:val="003665EF"/>
    <w:rsid w:val="00366ACA"/>
    <w:rsid w:val="00366B5B"/>
    <w:rsid w:val="00366C2C"/>
    <w:rsid w:val="00367282"/>
    <w:rsid w:val="00367391"/>
    <w:rsid w:val="00367560"/>
    <w:rsid w:val="00367691"/>
    <w:rsid w:val="003705E4"/>
    <w:rsid w:val="003706B0"/>
    <w:rsid w:val="00370B86"/>
    <w:rsid w:val="00370CD6"/>
    <w:rsid w:val="00370F3A"/>
    <w:rsid w:val="00370FAC"/>
    <w:rsid w:val="0037100D"/>
    <w:rsid w:val="003710C5"/>
    <w:rsid w:val="00371137"/>
    <w:rsid w:val="0037123E"/>
    <w:rsid w:val="00371356"/>
    <w:rsid w:val="003715A5"/>
    <w:rsid w:val="003719DB"/>
    <w:rsid w:val="00371B8B"/>
    <w:rsid w:val="00371C0E"/>
    <w:rsid w:val="00372348"/>
    <w:rsid w:val="0037240F"/>
    <w:rsid w:val="003724D9"/>
    <w:rsid w:val="003727FC"/>
    <w:rsid w:val="003729A0"/>
    <w:rsid w:val="00372C66"/>
    <w:rsid w:val="00373414"/>
    <w:rsid w:val="00373E43"/>
    <w:rsid w:val="00374408"/>
    <w:rsid w:val="00374BAF"/>
    <w:rsid w:val="00374CE2"/>
    <w:rsid w:val="00374DB5"/>
    <w:rsid w:val="003750CE"/>
    <w:rsid w:val="003751F1"/>
    <w:rsid w:val="00375495"/>
    <w:rsid w:val="00375777"/>
    <w:rsid w:val="0037594B"/>
    <w:rsid w:val="00375A81"/>
    <w:rsid w:val="00376877"/>
    <w:rsid w:val="0037696B"/>
    <w:rsid w:val="00376E17"/>
    <w:rsid w:val="00376E59"/>
    <w:rsid w:val="00377A12"/>
    <w:rsid w:val="00377AEF"/>
    <w:rsid w:val="00377B59"/>
    <w:rsid w:val="00377F12"/>
    <w:rsid w:val="003804B1"/>
    <w:rsid w:val="003805B2"/>
    <w:rsid w:val="00380600"/>
    <w:rsid w:val="00380653"/>
    <w:rsid w:val="00380757"/>
    <w:rsid w:val="003811F4"/>
    <w:rsid w:val="00381656"/>
    <w:rsid w:val="00381779"/>
    <w:rsid w:val="0038178C"/>
    <w:rsid w:val="00381B37"/>
    <w:rsid w:val="00382181"/>
    <w:rsid w:val="00382411"/>
    <w:rsid w:val="00382412"/>
    <w:rsid w:val="003824C8"/>
    <w:rsid w:val="0038285B"/>
    <w:rsid w:val="00382CFE"/>
    <w:rsid w:val="00383315"/>
    <w:rsid w:val="00383BEF"/>
    <w:rsid w:val="00383C71"/>
    <w:rsid w:val="00384023"/>
    <w:rsid w:val="003848A3"/>
    <w:rsid w:val="00384A38"/>
    <w:rsid w:val="00384A89"/>
    <w:rsid w:val="00384D18"/>
    <w:rsid w:val="003850A0"/>
    <w:rsid w:val="003854E8"/>
    <w:rsid w:val="003859A5"/>
    <w:rsid w:val="00385E82"/>
    <w:rsid w:val="00385F54"/>
    <w:rsid w:val="00385F8A"/>
    <w:rsid w:val="0038619A"/>
    <w:rsid w:val="0038621E"/>
    <w:rsid w:val="003863E3"/>
    <w:rsid w:val="003865F2"/>
    <w:rsid w:val="0038660B"/>
    <w:rsid w:val="00386B18"/>
    <w:rsid w:val="00386FF9"/>
    <w:rsid w:val="00387689"/>
    <w:rsid w:val="0038776C"/>
    <w:rsid w:val="00390493"/>
    <w:rsid w:val="00390566"/>
    <w:rsid w:val="003905C3"/>
    <w:rsid w:val="003905E7"/>
    <w:rsid w:val="0039063B"/>
    <w:rsid w:val="003908B8"/>
    <w:rsid w:val="003909D4"/>
    <w:rsid w:val="00390B42"/>
    <w:rsid w:val="00390CDE"/>
    <w:rsid w:val="00390D7A"/>
    <w:rsid w:val="00390DF9"/>
    <w:rsid w:val="003911BA"/>
    <w:rsid w:val="0039157D"/>
    <w:rsid w:val="003916FE"/>
    <w:rsid w:val="003918E9"/>
    <w:rsid w:val="00391BE3"/>
    <w:rsid w:val="00392D44"/>
    <w:rsid w:val="00392DB3"/>
    <w:rsid w:val="003930C6"/>
    <w:rsid w:val="003932D7"/>
    <w:rsid w:val="003938A4"/>
    <w:rsid w:val="00393EBA"/>
    <w:rsid w:val="00393EFB"/>
    <w:rsid w:val="00394177"/>
    <w:rsid w:val="003941AF"/>
    <w:rsid w:val="003944B7"/>
    <w:rsid w:val="003944BC"/>
    <w:rsid w:val="0039543F"/>
    <w:rsid w:val="00395629"/>
    <w:rsid w:val="00395B1F"/>
    <w:rsid w:val="00395C76"/>
    <w:rsid w:val="0039600E"/>
    <w:rsid w:val="003960AD"/>
    <w:rsid w:val="00396192"/>
    <w:rsid w:val="00396A5D"/>
    <w:rsid w:val="00397477"/>
    <w:rsid w:val="003976AB"/>
    <w:rsid w:val="00397703"/>
    <w:rsid w:val="00397F44"/>
    <w:rsid w:val="003A013E"/>
    <w:rsid w:val="003A01E5"/>
    <w:rsid w:val="003A03F6"/>
    <w:rsid w:val="003A0504"/>
    <w:rsid w:val="003A09D5"/>
    <w:rsid w:val="003A0C6D"/>
    <w:rsid w:val="003A0DFF"/>
    <w:rsid w:val="003A0ED6"/>
    <w:rsid w:val="003A1465"/>
    <w:rsid w:val="003A1882"/>
    <w:rsid w:val="003A1EEB"/>
    <w:rsid w:val="003A208D"/>
    <w:rsid w:val="003A214F"/>
    <w:rsid w:val="003A2365"/>
    <w:rsid w:val="003A3306"/>
    <w:rsid w:val="003A3703"/>
    <w:rsid w:val="003A4115"/>
    <w:rsid w:val="003A4187"/>
    <w:rsid w:val="003A5428"/>
    <w:rsid w:val="003A59CF"/>
    <w:rsid w:val="003A5AEA"/>
    <w:rsid w:val="003A5FC1"/>
    <w:rsid w:val="003A6901"/>
    <w:rsid w:val="003A6D12"/>
    <w:rsid w:val="003A6E34"/>
    <w:rsid w:val="003A6EE9"/>
    <w:rsid w:val="003A7048"/>
    <w:rsid w:val="003A7814"/>
    <w:rsid w:val="003A7998"/>
    <w:rsid w:val="003A7B0B"/>
    <w:rsid w:val="003A7B71"/>
    <w:rsid w:val="003B0287"/>
    <w:rsid w:val="003B0349"/>
    <w:rsid w:val="003B0B1E"/>
    <w:rsid w:val="003B0B90"/>
    <w:rsid w:val="003B0D00"/>
    <w:rsid w:val="003B1525"/>
    <w:rsid w:val="003B1569"/>
    <w:rsid w:val="003B1680"/>
    <w:rsid w:val="003B1A5E"/>
    <w:rsid w:val="003B1D43"/>
    <w:rsid w:val="003B1D54"/>
    <w:rsid w:val="003B1DC9"/>
    <w:rsid w:val="003B1E1F"/>
    <w:rsid w:val="003B1F41"/>
    <w:rsid w:val="003B1FFB"/>
    <w:rsid w:val="003B21FC"/>
    <w:rsid w:val="003B238B"/>
    <w:rsid w:val="003B247C"/>
    <w:rsid w:val="003B28D4"/>
    <w:rsid w:val="003B2BF4"/>
    <w:rsid w:val="003B3031"/>
    <w:rsid w:val="003B307A"/>
    <w:rsid w:val="003B31AD"/>
    <w:rsid w:val="003B326F"/>
    <w:rsid w:val="003B35A6"/>
    <w:rsid w:val="003B376D"/>
    <w:rsid w:val="003B37CE"/>
    <w:rsid w:val="003B3CB4"/>
    <w:rsid w:val="003B4CBE"/>
    <w:rsid w:val="003B541A"/>
    <w:rsid w:val="003B5557"/>
    <w:rsid w:val="003B598F"/>
    <w:rsid w:val="003B5F25"/>
    <w:rsid w:val="003B5F83"/>
    <w:rsid w:val="003B6BD8"/>
    <w:rsid w:val="003B6CF6"/>
    <w:rsid w:val="003B6D12"/>
    <w:rsid w:val="003B7134"/>
    <w:rsid w:val="003B7BDC"/>
    <w:rsid w:val="003B7E24"/>
    <w:rsid w:val="003B7ECA"/>
    <w:rsid w:val="003C04C9"/>
    <w:rsid w:val="003C0750"/>
    <w:rsid w:val="003C0AE6"/>
    <w:rsid w:val="003C0C41"/>
    <w:rsid w:val="003C0E04"/>
    <w:rsid w:val="003C163A"/>
    <w:rsid w:val="003C19D1"/>
    <w:rsid w:val="003C1B81"/>
    <w:rsid w:val="003C1C60"/>
    <w:rsid w:val="003C1E4B"/>
    <w:rsid w:val="003C1EF6"/>
    <w:rsid w:val="003C212A"/>
    <w:rsid w:val="003C249A"/>
    <w:rsid w:val="003C2557"/>
    <w:rsid w:val="003C258B"/>
    <w:rsid w:val="003C26EC"/>
    <w:rsid w:val="003C29EE"/>
    <w:rsid w:val="003C2B8B"/>
    <w:rsid w:val="003C2E3D"/>
    <w:rsid w:val="003C3291"/>
    <w:rsid w:val="003C3521"/>
    <w:rsid w:val="003C3577"/>
    <w:rsid w:val="003C37D1"/>
    <w:rsid w:val="003C3BAA"/>
    <w:rsid w:val="003C463C"/>
    <w:rsid w:val="003C47F8"/>
    <w:rsid w:val="003C5230"/>
    <w:rsid w:val="003C527C"/>
    <w:rsid w:val="003C52E5"/>
    <w:rsid w:val="003C55A1"/>
    <w:rsid w:val="003C589E"/>
    <w:rsid w:val="003C58D0"/>
    <w:rsid w:val="003C597A"/>
    <w:rsid w:val="003C5A8D"/>
    <w:rsid w:val="003C5BC2"/>
    <w:rsid w:val="003C5D6D"/>
    <w:rsid w:val="003C5EFF"/>
    <w:rsid w:val="003C6288"/>
    <w:rsid w:val="003C65D4"/>
    <w:rsid w:val="003C720F"/>
    <w:rsid w:val="003C723D"/>
    <w:rsid w:val="003C72AC"/>
    <w:rsid w:val="003C72B7"/>
    <w:rsid w:val="003C7A5D"/>
    <w:rsid w:val="003C7CDC"/>
    <w:rsid w:val="003C7D53"/>
    <w:rsid w:val="003D0323"/>
    <w:rsid w:val="003D0877"/>
    <w:rsid w:val="003D088F"/>
    <w:rsid w:val="003D08D2"/>
    <w:rsid w:val="003D0CCB"/>
    <w:rsid w:val="003D0D15"/>
    <w:rsid w:val="003D0FF9"/>
    <w:rsid w:val="003D1072"/>
    <w:rsid w:val="003D1140"/>
    <w:rsid w:val="003D1277"/>
    <w:rsid w:val="003D136C"/>
    <w:rsid w:val="003D1476"/>
    <w:rsid w:val="003D15C2"/>
    <w:rsid w:val="003D1976"/>
    <w:rsid w:val="003D1980"/>
    <w:rsid w:val="003D1CFA"/>
    <w:rsid w:val="003D1F63"/>
    <w:rsid w:val="003D243A"/>
    <w:rsid w:val="003D33EA"/>
    <w:rsid w:val="003D3BDA"/>
    <w:rsid w:val="003D3E13"/>
    <w:rsid w:val="003D4436"/>
    <w:rsid w:val="003D472F"/>
    <w:rsid w:val="003D4AB5"/>
    <w:rsid w:val="003D4D92"/>
    <w:rsid w:val="003D4E60"/>
    <w:rsid w:val="003D5356"/>
    <w:rsid w:val="003D537A"/>
    <w:rsid w:val="003D541E"/>
    <w:rsid w:val="003D5513"/>
    <w:rsid w:val="003D6723"/>
    <w:rsid w:val="003D69E8"/>
    <w:rsid w:val="003D6AD6"/>
    <w:rsid w:val="003D6BEE"/>
    <w:rsid w:val="003D708B"/>
    <w:rsid w:val="003D72EC"/>
    <w:rsid w:val="003D739C"/>
    <w:rsid w:val="003D7B19"/>
    <w:rsid w:val="003D7B5B"/>
    <w:rsid w:val="003D7CB4"/>
    <w:rsid w:val="003D7EA1"/>
    <w:rsid w:val="003D7EDF"/>
    <w:rsid w:val="003E0030"/>
    <w:rsid w:val="003E006B"/>
    <w:rsid w:val="003E0692"/>
    <w:rsid w:val="003E075B"/>
    <w:rsid w:val="003E07F6"/>
    <w:rsid w:val="003E0868"/>
    <w:rsid w:val="003E0D40"/>
    <w:rsid w:val="003E1736"/>
    <w:rsid w:val="003E1A0F"/>
    <w:rsid w:val="003E1B28"/>
    <w:rsid w:val="003E1DB1"/>
    <w:rsid w:val="003E25F5"/>
    <w:rsid w:val="003E2A16"/>
    <w:rsid w:val="003E3074"/>
    <w:rsid w:val="003E41FC"/>
    <w:rsid w:val="003E435B"/>
    <w:rsid w:val="003E44B3"/>
    <w:rsid w:val="003E457E"/>
    <w:rsid w:val="003E4661"/>
    <w:rsid w:val="003E4955"/>
    <w:rsid w:val="003E49EF"/>
    <w:rsid w:val="003E4A3C"/>
    <w:rsid w:val="003E4DA0"/>
    <w:rsid w:val="003E53D1"/>
    <w:rsid w:val="003E546A"/>
    <w:rsid w:val="003E57A7"/>
    <w:rsid w:val="003E5ACD"/>
    <w:rsid w:val="003E5ED0"/>
    <w:rsid w:val="003E68E9"/>
    <w:rsid w:val="003E7BF7"/>
    <w:rsid w:val="003E7EEA"/>
    <w:rsid w:val="003F03AA"/>
    <w:rsid w:val="003F07D5"/>
    <w:rsid w:val="003F0BA7"/>
    <w:rsid w:val="003F0D5F"/>
    <w:rsid w:val="003F0E3C"/>
    <w:rsid w:val="003F1323"/>
    <w:rsid w:val="003F160B"/>
    <w:rsid w:val="003F168A"/>
    <w:rsid w:val="003F191D"/>
    <w:rsid w:val="003F1A95"/>
    <w:rsid w:val="003F1BA6"/>
    <w:rsid w:val="003F1F5B"/>
    <w:rsid w:val="003F221D"/>
    <w:rsid w:val="003F2296"/>
    <w:rsid w:val="003F240E"/>
    <w:rsid w:val="003F241D"/>
    <w:rsid w:val="003F2540"/>
    <w:rsid w:val="003F2D1D"/>
    <w:rsid w:val="003F2E5E"/>
    <w:rsid w:val="003F34B5"/>
    <w:rsid w:val="003F34C3"/>
    <w:rsid w:val="003F3864"/>
    <w:rsid w:val="003F3D08"/>
    <w:rsid w:val="003F4722"/>
    <w:rsid w:val="003F4842"/>
    <w:rsid w:val="003F4887"/>
    <w:rsid w:val="003F49FD"/>
    <w:rsid w:val="003F573E"/>
    <w:rsid w:val="003F5A05"/>
    <w:rsid w:val="003F5C52"/>
    <w:rsid w:val="003F5D6E"/>
    <w:rsid w:val="003F66EB"/>
    <w:rsid w:val="003F6A5F"/>
    <w:rsid w:val="003F6A62"/>
    <w:rsid w:val="003F6B3E"/>
    <w:rsid w:val="003F6E71"/>
    <w:rsid w:val="003F6E7E"/>
    <w:rsid w:val="003F7304"/>
    <w:rsid w:val="003F7567"/>
    <w:rsid w:val="003F766B"/>
    <w:rsid w:val="0040007C"/>
    <w:rsid w:val="004004D2"/>
    <w:rsid w:val="00400675"/>
    <w:rsid w:val="004006FD"/>
    <w:rsid w:val="004008E6"/>
    <w:rsid w:val="00400CD8"/>
    <w:rsid w:val="00400F48"/>
    <w:rsid w:val="00401531"/>
    <w:rsid w:val="00401647"/>
    <w:rsid w:val="00401855"/>
    <w:rsid w:val="004018BD"/>
    <w:rsid w:val="00401CFD"/>
    <w:rsid w:val="00401D60"/>
    <w:rsid w:val="00402045"/>
    <w:rsid w:val="0040207B"/>
    <w:rsid w:val="004027CD"/>
    <w:rsid w:val="00402863"/>
    <w:rsid w:val="0040297E"/>
    <w:rsid w:val="004029A9"/>
    <w:rsid w:val="00402A95"/>
    <w:rsid w:val="00402D12"/>
    <w:rsid w:val="00402D97"/>
    <w:rsid w:val="00402DBD"/>
    <w:rsid w:val="00403094"/>
    <w:rsid w:val="004042B7"/>
    <w:rsid w:val="004045E1"/>
    <w:rsid w:val="004049AD"/>
    <w:rsid w:val="004049C7"/>
    <w:rsid w:val="00404F41"/>
    <w:rsid w:val="004053EB"/>
    <w:rsid w:val="00405A16"/>
    <w:rsid w:val="00405D3E"/>
    <w:rsid w:val="004061CB"/>
    <w:rsid w:val="004065E6"/>
    <w:rsid w:val="00406664"/>
    <w:rsid w:val="00406842"/>
    <w:rsid w:val="0040699E"/>
    <w:rsid w:val="00406BF6"/>
    <w:rsid w:val="004077C2"/>
    <w:rsid w:val="00407B85"/>
    <w:rsid w:val="0041003D"/>
    <w:rsid w:val="00410D16"/>
    <w:rsid w:val="00410DD9"/>
    <w:rsid w:val="00410FD1"/>
    <w:rsid w:val="00410FD6"/>
    <w:rsid w:val="00411142"/>
    <w:rsid w:val="0041177A"/>
    <w:rsid w:val="00411D33"/>
    <w:rsid w:val="00411FB1"/>
    <w:rsid w:val="00412120"/>
    <w:rsid w:val="004121AD"/>
    <w:rsid w:val="0041229C"/>
    <w:rsid w:val="00412A0C"/>
    <w:rsid w:val="00412B33"/>
    <w:rsid w:val="00412E74"/>
    <w:rsid w:val="00413245"/>
    <w:rsid w:val="0041389D"/>
    <w:rsid w:val="00414360"/>
    <w:rsid w:val="004148ED"/>
    <w:rsid w:val="00414BE4"/>
    <w:rsid w:val="00414D13"/>
    <w:rsid w:val="00415243"/>
    <w:rsid w:val="004152C7"/>
    <w:rsid w:val="00415C8A"/>
    <w:rsid w:val="004161E5"/>
    <w:rsid w:val="00416B97"/>
    <w:rsid w:val="004170ED"/>
    <w:rsid w:val="00417136"/>
    <w:rsid w:val="00417326"/>
    <w:rsid w:val="004177BA"/>
    <w:rsid w:val="004177EF"/>
    <w:rsid w:val="00417C87"/>
    <w:rsid w:val="00417CC7"/>
    <w:rsid w:val="00420739"/>
    <w:rsid w:val="00420A4E"/>
    <w:rsid w:val="00420C30"/>
    <w:rsid w:val="00421253"/>
    <w:rsid w:val="00421EF4"/>
    <w:rsid w:val="0042225C"/>
    <w:rsid w:val="00422837"/>
    <w:rsid w:val="00422A53"/>
    <w:rsid w:val="00422C2E"/>
    <w:rsid w:val="004231A4"/>
    <w:rsid w:val="004231E4"/>
    <w:rsid w:val="00423527"/>
    <w:rsid w:val="00423568"/>
    <w:rsid w:val="004236D9"/>
    <w:rsid w:val="004239D5"/>
    <w:rsid w:val="00423D98"/>
    <w:rsid w:val="004240E7"/>
    <w:rsid w:val="004244B1"/>
    <w:rsid w:val="004244E6"/>
    <w:rsid w:val="00424839"/>
    <w:rsid w:val="00424CE1"/>
    <w:rsid w:val="00424D2D"/>
    <w:rsid w:val="004252BA"/>
    <w:rsid w:val="00425505"/>
    <w:rsid w:val="0042557B"/>
    <w:rsid w:val="0042591A"/>
    <w:rsid w:val="00426320"/>
    <w:rsid w:val="004269FC"/>
    <w:rsid w:val="00426AE7"/>
    <w:rsid w:val="00426C02"/>
    <w:rsid w:val="00426DD1"/>
    <w:rsid w:val="0042724F"/>
    <w:rsid w:val="00427453"/>
    <w:rsid w:val="004276F6"/>
    <w:rsid w:val="004277A6"/>
    <w:rsid w:val="00427912"/>
    <w:rsid w:val="00427DCD"/>
    <w:rsid w:val="00427DD3"/>
    <w:rsid w:val="00430DDE"/>
    <w:rsid w:val="00430F05"/>
    <w:rsid w:val="004310CF"/>
    <w:rsid w:val="0043174F"/>
    <w:rsid w:val="00431DCD"/>
    <w:rsid w:val="00431E1D"/>
    <w:rsid w:val="00431F93"/>
    <w:rsid w:val="00432372"/>
    <w:rsid w:val="00432497"/>
    <w:rsid w:val="00432D60"/>
    <w:rsid w:val="00432F05"/>
    <w:rsid w:val="00433167"/>
    <w:rsid w:val="004343FF"/>
    <w:rsid w:val="00434606"/>
    <w:rsid w:val="00434745"/>
    <w:rsid w:val="00434917"/>
    <w:rsid w:val="0043497E"/>
    <w:rsid w:val="00435957"/>
    <w:rsid w:val="0043645B"/>
    <w:rsid w:val="004364CA"/>
    <w:rsid w:val="0043664B"/>
    <w:rsid w:val="00436703"/>
    <w:rsid w:val="00437019"/>
    <w:rsid w:val="00437206"/>
    <w:rsid w:val="004374D6"/>
    <w:rsid w:val="0043752B"/>
    <w:rsid w:val="00437693"/>
    <w:rsid w:val="00437923"/>
    <w:rsid w:val="00437C2C"/>
    <w:rsid w:val="00437E41"/>
    <w:rsid w:val="0044046E"/>
    <w:rsid w:val="00440830"/>
    <w:rsid w:val="00440D27"/>
    <w:rsid w:val="00440DAF"/>
    <w:rsid w:val="004410FE"/>
    <w:rsid w:val="0044144D"/>
    <w:rsid w:val="00441733"/>
    <w:rsid w:val="00441A96"/>
    <w:rsid w:val="00441E26"/>
    <w:rsid w:val="00442176"/>
    <w:rsid w:val="004421A3"/>
    <w:rsid w:val="004425DF"/>
    <w:rsid w:val="00442871"/>
    <w:rsid w:val="00443BD2"/>
    <w:rsid w:val="00443C21"/>
    <w:rsid w:val="00443F6F"/>
    <w:rsid w:val="00444198"/>
    <w:rsid w:val="004443DE"/>
    <w:rsid w:val="00444826"/>
    <w:rsid w:val="00444865"/>
    <w:rsid w:val="00444AB0"/>
    <w:rsid w:val="00444CDA"/>
    <w:rsid w:val="00445107"/>
    <w:rsid w:val="00445892"/>
    <w:rsid w:val="004459B5"/>
    <w:rsid w:val="00445ABA"/>
    <w:rsid w:val="00445B2A"/>
    <w:rsid w:val="00445CAD"/>
    <w:rsid w:val="0044677F"/>
    <w:rsid w:val="00446874"/>
    <w:rsid w:val="00446E53"/>
    <w:rsid w:val="00446FAC"/>
    <w:rsid w:val="00447426"/>
    <w:rsid w:val="00447658"/>
    <w:rsid w:val="00447793"/>
    <w:rsid w:val="004503A7"/>
    <w:rsid w:val="004503C0"/>
    <w:rsid w:val="004503ED"/>
    <w:rsid w:val="00450710"/>
    <w:rsid w:val="00450A5F"/>
    <w:rsid w:val="00450E83"/>
    <w:rsid w:val="00450F3B"/>
    <w:rsid w:val="00452391"/>
    <w:rsid w:val="004523B7"/>
    <w:rsid w:val="004525F0"/>
    <w:rsid w:val="00452B7E"/>
    <w:rsid w:val="00452B98"/>
    <w:rsid w:val="0045322C"/>
    <w:rsid w:val="0045369E"/>
    <w:rsid w:val="004536AE"/>
    <w:rsid w:val="0045387D"/>
    <w:rsid w:val="00453C71"/>
    <w:rsid w:val="00454008"/>
    <w:rsid w:val="0045415D"/>
    <w:rsid w:val="0045462A"/>
    <w:rsid w:val="00454B85"/>
    <w:rsid w:val="00455060"/>
    <w:rsid w:val="004554B6"/>
    <w:rsid w:val="00455E59"/>
    <w:rsid w:val="004562D5"/>
    <w:rsid w:val="00456316"/>
    <w:rsid w:val="004569E7"/>
    <w:rsid w:val="00456E07"/>
    <w:rsid w:val="00456E7C"/>
    <w:rsid w:val="00457275"/>
    <w:rsid w:val="00457376"/>
    <w:rsid w:val="00457D70"/>
    <w:rsid w:val="00457F34"/>
    <w:rsid w:val="004602A4"/>
    <w:rsid w:val="00460601"/>
    <w:rsid w:val="00460695"/>
    <w:rsid w:val="00460789"/>
    <w:rsid w:val="00460F34"/>
    <w:rsid w:val="00461258"/>
    <w:rsid w:val="0046152F"/>
    <w:rsid w:val="00461CFC"/>
    <w:rsid w:val="00462251"/>
    <w:rsid w:val="00462917"/>
    <w:rsid w:val="00462F91"/>
    <w:rsid w:val="004636D9"/>
    <w:rsid w:val="004638A1"/>
    <w:rsid w:val="00463BD6"/>
    <w:rsid w:val="00463DC2"/>
    <w:rsid w:val="00463F84"/>
    <w:rsid w:val="004642DB"/>
    <w:rsid w:val="00464390"/>
    <w:rsid w:val="0046493A"/>
    <w:rsid w:val="0046507D"/>
    <w:rsid w:val="00465716"/>
    <w:rsid w:val="004663A8"/>
    <w:rsid w:val="004664CB"/>
    <w:rsid w:val="0046667B"/>
    <w:rsid w:val="00466A49"/>
    <w:rsid w:val="00466F26"/>
    <w:rsid w:val="00467659"/>
    <w:rsid w:val="0046783D"/>
    <w:rsid w:val="00467F88"/>
    <w:rsid w:val="004707FF"/>
    <w:rsid w:val="00470863"/>
    <w:rsid w:val="0047152E"/>
    <w:rsid w:val="00471B9D"/>
    <w:rsid w:val="00471BE3"/>
    <w:rsid w:val="00471D1D"/>
    <w:rsid w:val="00472111"/>
    <w:rsid w:val="00472455"/>
    <w:rsid w:val="004727DF"/>
    <w:rsid w:val="00472A15"/>
    <w:rsid w:val="00472C5E"/>
    <w:rsid w:val="00472CBF"/>
    <w:rsid w:val="00472D00"/>
    <w:rsid w:val="00472F83"/>
    <w:rsid w:val="004731E6"/>
    <w:rsid w:val="00473332"/>
    <w:rsid w:val="0047343B"/>
    <w:rsid w:val="00473826"/>
    <w:rsid w:val="00473AB2"/>
    <w:rsid w:val="00473D1B"/>
    <w:rsid w:val="00473F1D"/>
    <w:rsid w:val="0047409F"/>
    <w:rsid w:val="00474211"/>
    <w:rsid w:val="00474365"/>
    <w:rsid w:val="0047469E"/>
    <w:rsid w:val="00474836"/>
    <w:rsid w:val="00474846"/>
    <w:rsid w:val="0047496F"/>
    <w:rsid w:val="00474AB0"/>
    <w:rsid w:val="00474DCB"/>
    <w:rsid w:val="0047518B"/>
    <w:rsid w:val="004755B8"/>
    <w:rsid w:val="00475826"/>
    <w:rsid w:val="00475C29"/>
    <w:rsid w:val="00475FB7"/>
    <w:rsid w:val="00476E3D"/>
    <w:rsid w:val="0047715C"/>
    <w:rsid w:val="004774BC"/>
    <w:rsid w:val="004774FC"/>
    <w:rsid w:val="00477938"/>
    <w:rsid w:val="00477C95"/>
    <w:rsid w:val="00477F25"/>
    <w:rsid w:val="00480CEA"/>
    <w:rsid w:val="00480FCE"/>
    <w:rsid w:val="0048107B"/>
    <w:rsid w:val="0048148B"/>
    <w:rsid w:val="004815E7"/>
    <w:rsid w:val="0048170E"/>
    <w:rsid w:val="004818DA"/>
    <w:rsid w:val="00481B5C"/>
    <w:rsid w:val="00481E56"/>
    <w:rsid w:val="00482119"/>
    <w:rsid w:val="00482408"/>
    <w:rsid w:val="004825A3"/>
    <w:rsid w:val="004825C1"/>
    <w:rsid w:val="0048335F"/>
    <w:rsid w:val="0048360E"/>
    <w:rsid w:val="00483FAC"/>
    <w:rsid w:val="00483FB2"/>
    <w:rsid w:val="0048491A"/>
    <w:rsid w:val="00484971"/>
    <w:rsid w:val="00484F76"/>
    <w:rsid w:val="004850DE"/>
    <w:rsid w:val="004858EE"/>
    <w:rsid w:val="004860F7"/>
    <w:rsid w:val="004862D7"/>
    <w:rsid w:val="004867C7"/>
    <w:rsid w:val="0048697B"/>
    <w:rsid w:val="00486B1D"/>
    <w:rsid w:val="00486D3D"/>
    <w:rsid w:val="0048709F"/>
    <w:rsid w:val="00487BEA"/>
    <w:rsid w:val="004904A4"/>
    <w:rsid w:val="004915BF"/>
    <w:rsid w:val="004925E9"/>
    <w:rsid w:val="00492DC3"/>
    <w:rsid w:val="00492E31"/>
    <w:rsid w:val="00493031"/>
    <w:rsid w:val="004933C1"/>
    <w:rsid w:val="00493662"/>
    <w:rsid w:val="004936F5"/>
    <w:rsid w:val="004937AA"/>
    <w:rsid w:val="004945E6"/>
    <w:rsid w:val="00494A80"/>
    <w:rsid w:val="00494C32"/>
    <w:rsid w:val="00494DB4"/>
    <w:rsid w:val="00495052"/>
    <w:rsid w:val="00495437"/>
    <w:rsid w:val="004957A4"/>
    <w:rsid w:val="00495944"/>
    <w:rsid w:val="00495993"/>
    <w:rsid w:val="00495A19"/>
    <w:rsid w:val="00495A4F"/>
    <w:rsid w:val="00495EBE"/>
    <w:rsid w:val="0049607A"/>
    <w:rsid w:val="004961C9"/>
    <w:rsid w:val="004961F6"/>
    <w:rsid w:val="00496251"/>
    <w:rsid w:val="004966CE"/>
    <w:rsid w:val="0049682B"/>
    <w:rsid w:val="00496880"/>
    <w:rsid w:val="00496990"/>
    <w:rsid w:val="00496B5C"/>
    <w:rsid w:val="0049775B"/>
    <w:rsid w:val="00497808"/>
    <w:rsid w:val="00497B1A"/>
    <w:rsid w:val="00497CAC"/>
    <w:rsid w:val="00497D1E"/>
    <w:rsid w:val="004A07FF"/>
    <w:rsid w:val="004A080A"/>
    <w:rsid w:val="004A0954"/>
    <w:rsid w:val="004A0A4B"/>
    <w:rsid w:val="004A0B03"/>
    <w:rsid w:val="004A0E68"/>
    <w:rsid w:val="004A10FA"/>
    <w:rsid w:val="004A1146"/>
    <w:rsid w:val="004A1304"/>
    <w:rsid w:val="004A139C"/>
    <w:rsid w:val="004A177A"/>
    <w:rsid w:val="004A18CF"/>
    <w:rsid w:val="004A1C18"/>
    <w:rsid w:val="004A1CC4"/>
    <w:rsid w:val="004A2058"/>
    <w:rsid w:val="004A205B"/>
    <w:rsid w:val="004A2221"/>
    <w:rsid w:val="004A2499"/>
    <w:rsid w:val="004A2931"/>
    <w:rsid w:val="004A2AEA"/>
    <w:rsid w:val="004A2B8B"/>
    <w:rsid w:val="004A2DE6"/>
    <w:rsid w:val="004A2F6A"/>
    <w:rsid w:val="004A339A"/>
    <w:rsid w:val="004A357F"/>
    <w:rsid w:val="004A427A"/>
    <w:rsid w:val="004A45BB"/>
    <w:rsid w:val="004A4927"/>
    <w:rsid w:val="004A53C7"/>
    <w:rsid w:val="004A57C5"/>
    <w:rsid w:val="004A5E6A"/>
    <w:rsid w:val="004A5EE3"/>
    <w:rsid w:val="004A60C7"/>
    <w:rsid w:val="004A6240"/>
    <w:rsid w:val="004A662D"/>
    <w:rsid w:val="004A6998"/>
    <w:rsid w:val="004A6A64"/>
    <w:rsid w:val="004A6BC2"/>
    <w:rsid w:val="004A7286"/>
    <w:rsid w:val="004A7495"/>
    <w:rsid w:val="004A765A"/>
    <w:rsid w:val="004A787F"/>
    <w:rsid w:val="004A794C"/>
    <w:rsid w:val="004A7962"/>
    <w:rsid w:val="004A7B84"/>
    <w:rsid w:val="004A7B8E"/>
    <w:rsid w:val="004A7D96"/>
    <w:rsid w:val="004A7EB7"/>
    <w:rsid w:val="004A7F03"/>
    <w:rsid w:val="004B0838"/>
    <w:rsid w:val="004B0AE4"/>
    <w:rsid w:val="004B1454"/>
    <w:rsid w:val="004B14DC"/>
    <w:rsid w:val="004B19F4"/>
    <w:rsid w:val="004B19FC"/>
    <w:rsid w:val="004B1D3F"/>
    <w:rsid w:val="004B1F64"/>
    <w:rsid w:val="004B224E"/>
    <w:rsid w:val="004B22F2"/>
    <w:rsid w:val="004B26DB"/>
    <w:rsid w:val="004B2919"/>
    <w:rsid w:val="004B2C53"/>
    <w:rsid w:val="004B311D"/>
    <w:rsid w:val="004B3339"/>
    <w:rsid w:val="004B36CB"/>
    <w:rsid w:val="004B3E39"/>
    <w:rsid w:val="004B3E3C"/>
    <w:rsid w:val="004B4590"/>
    <w:rsid w:val="004B4B0E"/>
    <w:rsid w:val="004B50A5"/>
    <w:rsid w:val="004B5398"/>
    <w:rsid w:val="004B5837"/>
    <w:rsid w:val="004B58FC"/>
    <w:rsid w:val="004B58FD"/>
    <w:rsid w:val="004B5F75"/>
    <w:rsid w:val="004B6A07"/>
    <w:rsid w:val="004B6C54"/>
    <w:rsid w:val="004B6CDF"/>
    <w:rsid w:val="004B719D"/>
    <w:rsid w:val="004B732A"/>
    <w:rsid w:val="004B7393"/>
    <w:rsid w:val="004C0462"/>
    <w:rsid w:val="004C0814"/>
    <w:rsid w:val="004C0A85"/>
    <w:rsid w:val="004C0BE0"/>
    <w:rsid w:val="004C0F9A"/>
    <w:rsid w:val="004C0FF9"/>
    <w:rsid w:val="004C11A0"/>
    <w:rsid w:val="004C140C"/>
    <w:rsid w:val="004C1689"/>
    <w:rsid w:val="004C19C0"/>
    <w:rsid w:val="004C1BC9"/>
    <w:rsid w:val="004C1C02"/>
    <w:rsid w:val="004C1D9A"/>
    <w:rsid w:val="004C229E"/>
    <w:rsid w:val="004C24B6"/>
    <w:rsid w:val="004C29BA"/>
    <w:rsid w:val="004C2A47"/>
    <w:rsid w:val="004C2E1A"/>
    <w:rsid w:val="004C2ED2"/>
    <w:rsid w:val="004C33CE"/>
    <w:rsid w:val="004C359E"/>
    <w:rsid w:val="004C35C9"/>
    <w:rsid w:val="004C396A"/>
    <w:rsid w:val="004C3E96"/>
    <w:rsid w:val="004C40C1"/>
    <w:rsid w:val="004C40F1"/>
    <w:rsid w:val="004C4359"/>
    <w:rsid w:val="004C43F3"/>
    <w:rsid w:val="004C445D"/>
    <w:rsid w:val="004C44E8"/>
    <w:rsid w:val="004C4B21"/>
    <w:rsid w:val="004C523D"/>
    <w:rsid w:val="004C53D2"/>
    <w:rsid w:val="004C59F4"/>
    <w:rsid w:val="004C5B72"/>
    <w:rsid w:val="004C6507"/>
    <w:rsid w:val="004C6687"/>
    <w:rsid w:val="004C6E4B"/>
    <w:rsid w:val="004C705E"/>
    <w:rsid w:val="004C74B3"/>
    <w:rsid w:val="004C765A"/>
    <w:rsid w:val="004C7F21"/>
    <w:rsid w:val="004C7F53"/>
    <w:rsid w:val="004D062E"/>
    <w:rsid w:val="004D1423"/>
    <w:rsid w:val="004D15BD"/>
    <w:rsid w:val="004D1D87"/>
    <w:rsid w:val="004D245C"/>
    <w:rsid w:val="004D315F"/>
    <w:rsid w:val="004D3735"/>
    <w:rsid w:val="004D480E"/>
    <w:rsid w:val="004D4865"/>
    <w:rsid w:val="004D4954"/>
    <w:rsid w:val="004D4B02"/>
    <w:rsid w:val="004D512C"/>
    <w:rsid w:val="004D5257"/>
    <w:rsid w:val="004D5558"/>
    <w:rsid w:val="004D55F9"/>
    <w:rsid w:val="004D595D"/>
    <w:rsid w:val="004D6047"/>
    <w:rsid w:val="004D641E"/>
    <w:rsid w:val="004D64E2"/>
    <w:rsid w:val="004D6767"/>
    <w:rsid w:val="004D6843"/>
    <w:rsid w:val="004D7031"/>
    <w:rsid w:val="004D734A"/>
    <w:rsid w:val="004D7497"/>
    <w:rsid w:val="004D7748"/>
    <w:rsid w:val="004D793D"/>
    <w:rsid w:val="004D795E"/>
    <w:rsid w:val="004E011A"/>
    <w:rsid w:val="004E03FC"/>
    <w:rsid w:val="004E087F"/>
    <w:rsid w:val="004E0A17"/>
    <w:rsid w:val="004E0C1A"/>
    <w:rsid w:val="004E0EE4"/>
    <w:rsid w:val="004E1091"/>
    <w:rsid w:val="004E142B"/>
    <w:rsid w:val="004E1432"/>
    <w:rsid w:val="004E1B56"/>
    <w:rsid w:val="004E24D0"/>
    <w:rsid w:val="004E26AC"/>
    <w:rsid w:val="004E2994"/>
    <w:rsid w:val="004E2A39"/>
    <w:rsid w:val="004E2A3B"/>
    <w:rsid w:val="004E2DD7"/>
    <w:rsid w:val="004E358B"/>
    <w:rsid w:val="004E3D46"/>
    <w:rsid w:val="004E3FEB"/>
    <w:rsid w:val="004E41D8"/>
    <w:rsid w:val="004E43B2"/>
    <w:rsid w:val="004E4C3A"/>
    <w:rsid w:val="004E4CAF"/>
    <w:rsid w:val="004E4E45"/>
    <w:rsid w:val="004E521D"/>
    <w:rsid w:val="004E5265"/>
    <w:rsid w:val="004E5675"/>
    <w:rsid w:val="004E60E7"/>
    <w:rsid w:val="004E64ED"/>
    <w:rsid w:val="004E6583"/>
    <w:rsid w:val="004E65A6"/>
    <w:rsid w:val="004E6928"/>
    <w:rsid w:val="004E6AF3"/>
    <w:rsid w:val="004E6BFA"/>
    <w:rsid w:val="004E6DCA"/>
    <w:rsid w:val="004E7396"/>
    <w:rsid w:val="004E7951"/>
    <w:rsid w:val="004E7D06"/>
    <w:rsid w:val="004E7EEF"/>
    <w:rsid w:val="004F023B"/>
    <w:rsid w:val="004F092D"/>
    <w:rsid w:val="004F09F3"/>
    <w:rsid w:val="004F0AEA"/>
    <w:rsid w:val="004F1285"/>
    <w:rsid w:val="004F12E6"/>
    <w:rsid w:val="004F13D3"/>
    <w:rsid w:val="004F1434"/>
    <w:rsid w:val="004F1A8E"/>
    <w:rsid w:val="004F22BD"/>
    <w:rsid w:val="004F3179"/>
    <w:rsid w:val="004F33AB"/>
    <w:rsid w:val="004F343E"/>
    <w:rsid w:val="004F3A5A"/>
    <w:rsid w:val="004F3EA3"/>
    <w:rsid w:val="004F3EAB"/>
    <w:rsid w:val="004F3FBA"/>
    <w:rsid w:val="004F40AA"/>
    <w:rsid w:val="004F4526"/>
    <w:rsid w:val="004F4BFA"/>
    <w:rsid w:val="004F4D2E"/>
    <w:rsid w:val="004F4DF9"/>
    <w:rsid w:val="004F546C"/>
    <w:rsid w:val="004F54CE"/>
    <w:rsid w:val="004F5596"/>
    <w:rsid w:val="004F5DF3"/>
    <w:rsid w:val="004F619B"/>
    <w:rsid w:val="004F61F7"/>
    <w:rsid w:val="004F6754"/>
    <w:rsid w:val="004F7655"/>
    <w:rsid w:val="004F76BE"/>
    <w:rsid w:val="004F7B67"/>
    <w:rsid w:val="004F7C25"/>
    <w:rsid w:val="004F7D38"/>
    <w:rsid w:val="004F7E8B"/>
    <w:rsid w:val="00500267"/>
    <w:rsid w:val="005006AE"/>
    <w:rsid w:val="00500CAE"/>
    <w:rsid w:val="00500D49"/>
    <w:rsid w:val="00501333"/>
    <w:rsid w:val="00501653"/>
    <w:rsid w:val="00501BD1"/>
    <w:rsid w:val="00501F17"/>
    <w:rsid w:val="005022E2"/>
    <w:rsid w:val="005027A6"/>
    <w:rsid w:val="005029A6"/>
    <w:rsid w:val="00502FA1"/>
    <w:rsid w:val="00503151"/>
    <w:rsid w:val="0050323F"/>
    <w:rsid w:val="005032A6"/>
    <w:rsid w:val="00503375"/>
    <w:rsid w:val="00503429"/>
    <w:rsid w:val="005036C2"/>
    <w:rsid w:val="005038FA"/>
    <w:rsid w:val="00504062"/>
    <w:rsid w:val="005045E8"/>
    <w:rsid w:val="0050471C"/>
    <w:rsid w:val="0050557E"/>
    <w:rsid w:val="0050611D"/>
    <w:rsid w:val="005065EF"/>
    <w:rsid w:val="00506966"/>
    <w:rsid w:val="00506AA7"/>
    <w:rsid w:val="00506C38"/>
    <w:rsid w:val="00506CAA"/>
    <w:rsid w:val="00506F69"/>
    <w:rsid w:val="005070B6"/>
    <w:rsid w:val="00507310"/>
    <w:rsid w:val="005075E9"/>
    <w:rsid w:val="00507BD7"/>
    <w:rsid w:val="00507DBA"/>
    <w:rsid w:val="00507E80"/>
    <w:rsid w:val="00507EFB"/>
    <w:rsid w:val="00510042"/>
    <w:rsid w:val="00510264"/>
    <w:rsid w:val="00510282"/>
    <w:rsid w:val="00510327"/>
    <w:rsid w:val="00510736"/>
    <w:rsid w:val="005107F0"/>
    <w:rsid w:val="00510828"/>
    <w:rsid w:val="00510C1D"/>
    <w:rsid w:val="00510C4C"/>
    <w:rsid w:val="00510F95"/>
    <w:rsid w:val="00511A82"/>
    <w:rsid w:val="00511C89"/>
    <w:rsid w:val="0051208B"/>
    <w:rsid w:val="0051217C"/>
    <w:rsid w:val="0051284A"/>
    <w:rsid w:val="00512C93"/>
    <w:rsid w:val="00512FDA"/>
    <w:rsid w:val="00513050"/>
    <w:rsid w:val="00513435"/>
    <w:rsid w:val="00513BF0"/>
    <w:rsid w:val="00513D6A"/>
    <w:rsid w:val="00513E08"/>
    <w:rsid w:val="005147ED"/>
    <w:rsid w:val="005148AC"/>
    <w:rsid w:val="00514D2D"/>
    <w:rsid w:val="0051559B"/>
    <w:rsid w:val="0051562F"/>
    <w:rsid w:val="00515A57"/>
    <w:rsid w:val="00515E65"/>
    <w:rsid w:val="00515FD0"/>
    <w:rsid w:val="00516031"/>
    <w:rsid w:val="00516037"/>
    <w:rsid w:val="00516128"/>
    <w:rsid w:val="00516297"/>
    <w:rsid w:val="005162A3"/>
    <w:rsid w:val="0051677B"/>
    <w:rsid w:val="00516990"/>
    <w:rsid w:val="00516A22"/>
    <w:rsid w:val="00516A70"/>
    <w:rsid w:val="00516F3C"/>
    <w:rsid w:val="005170BD"/>
    <w:rsid w:val="00517358"/>
    <w:rsid w:val="00517368"/>
    <w:rsid w:val="00517425"/>
    <w:rsid w:val="00517497"/>
    <w:rsid w:val="0051777C"/>
    <w:rsid w:val="00517B4B"/>
    <w:rsid w:val="00517D3E"/>
    <w:rsid w:val="00517EE6"/>
    <w:rsid w:val="00517F36"/>
    <w:rsid w:val="005204CF"/>
    <w:rsid w:val="005205C8"/>
    <w:rsid w:val="005208F0"/>
    <w:rsid w:val="00520B2A"/>
    <w:rsid w:val="00520C22"/>
    <w:rsid w:val="00520C67"/>
    <w:rsid w:val="00520E4F"/>
    <w:rsid w:val="0052106F"/>
    <w:rsid w:val="00521601"/>
    <w:rsid w:val="00521744"/>
    <w:rsid w:val="005219D3"/>
    <w:rsid w:val="005221A3"/>
    <w:rsid w:val="0052260A"/>
    <w:rsid w:val="00522A5D"/>
    <w:rsid w:val="00522AA8"/>
    <w:rsid w:val="00522B50"/>
    <w:rsid w:val="0052317F"/>
    <w:rsid w:val="00523669"/>
    <w:rsid w:val="005236CF"/>
    <w:rsid w:val="005236E0"/>
    <w:rsid w:val="00523968"/>
    <w:rsid w:val="00523A82"/>
    <w:rsid w:val="005242CE"/>
    <w:rsid w:val="00524434"/>
    <w:rsid w:val="00524634"/>
    <w:rsid w:val="00524B9C"/>
    <w:rsid w:val="00524C5F"/>
    <w:rsid w:val="00524D11"/>
    <w:rsid w:val="00524E93"/>
    <w:rsid w:val="00524EE6"/>
    <w:rsid w:val="00524F5A"/>
    <w:rsid w:val="005250C0"/>
    <w:rsid w:val="0052537F"/>
    <w:rsid w:val="005253F2"/>
    <w:rsid w:val="0052543F"/>
    <w:rsid w:val="0052548A"/>
    <w:rsid w:val="00525D38"/>
    <w:rsid w:val="00526775"/>
    <w:rsid w:val="00526DD8"/>
    <w:rsid w:val="00526EBC"/>
    <w:rsid w:val="005275FC"/>
    <w:rsid w:val="005276BA"/>
    <w:rsid w:val="00527A85"/>
    <w:rsid w:val="00527A99"/>
    <w:rsid w:val="00527BE6"/>
    <w:rsid w:val="005305AB"/>
    <w:rsid w:val="005306DB"/>
    <w:rsid w:val="00530AA0"/>
    <w:rsid w:val="00530EDB"/>
    <w:rsid w:val="00531183"/>
    <w:rsid w:val="005314EB"/>
    <w:rsid w:val="00531DA0"/>
    <w:rsid w:val="00531DC8"/>
    <w:rsid w:val="005321BB"/>
    <w:rsid w:val="0053259A"/>
    <w:rsid w:val="005326D6"/>
    <w:rsid w:val="005329AD"/>
    <w:rsid w:val="0053373B"/>
    <w:rsid w:val="00533A8B"/>
    <w:rsid w:val="00533E1C"/>
    <w:rsid w:val="00533E5D"/>
    <w:rsid w:val="00533EE6"/>
    <w:rsid w:val="00534193"/>
    <w:rsid w:val="005342C5"/>
    <w:rsid w:val="005346DF"/>
    <w:rsid w:val="00534AFF"/>
    <w:rsid w:val="00535036"/>
    <w:rsid w:val="0053566A"/>
    <w:rsid w:val="0053582A"/>
    <w:rsid w:val="00535B18"/>
    <w:rsid w:val="00535FAC"/>
    <w:rsid w:val="00536027"/>
    <w:rsid w:val="0053610E"/>
    <w:rsid w:val="0053631F"/>
    <w:rsid w:val="00536569"/>
    <w:rsid w:val="00536CCB"/>
    <w:rsid w:val="00537194"/>
    <w:rsid w:val="005373B5"/>
    <w:rsid w:val="0053776E"/>
    <w:rsid w:val="00537C93"/>
    <w:rsid w:val="00537DBB"/>
    <w:rsid w:val="005401B8"/>
    <w:rsid w:val="00540826"/>
    <w:rsid w:val="0054125C"/>
    <w:rsid w:val="00541261"/>
    <w:rsid w:val="00541616"/>
    <w:rsid w:val="005416B1"/>
    <w:rsid w:val="00541C3B"/>
    <w:rsid w:val="00541D4A"/>
    <w:rsid w:val="00541D8F"/>
    <w:rsid w:val="005421D6"/>
    <w:rsid w:val="005423D2"/>
    <w:rsid w:val="0054254B"/>
    <w:rsid w:val="00542859"/>
    <w:rsid w:val="00542ABB"/>
    <w:rsid w:val="0054313A"/>
    <w:rsid w:val="00543230"/>
    <w:rsid w:val="005435FF"/>
    <w:rsid w:val="005436D4"/>
    <w:rsid w:val="00543956"/>
    <w:rsid w:val="00543B8C"/>
    <w:rsid w:val="00543E30"/>
    <w:rsid w:val="00543E56"/>
    <w:rsid w:val="00544277"/>
    <w:rsid w:val="005444E4"/>
    <w:rsid w:val="005445F5"/>
    <w:rsid w:val="00544A21"/>
    <w:rsid w:val="00544A23"/>
    <w:rsid w:val="00544CBF"/>
    <w:rsid w:val="0054543D"/>
    <w:rsid w:val="00545A1C"/>
    <w:rsid w:val="00545BCA"/>
    <w:rsid w:val="0054632A"/>
    <w:rsid w:val="0054645E"/>
    <w:rsid w:val="00546E9D"/>
    <w:rsid w:val="00546F3F"/>
    <w:rsid w:val="0054710B"/>
    <w:rsid w:val="0054751E"/>
    <w:rsid w:val="00547767"/>
    <w:rsid w:val="00550115"/>
    <w:rsid w:val="005505E3"/>
    <w:rsid w:val="0055099F"/>
    <w:rsid w:val="00550A03"/>
    <w:rsid w:val="005510CC"/>
    <w:rsid w:val="0055122F"/>
    <w:rsid w:val="00551655"/>
    <w:rsid w:val="00551CEF"/>
    <w:rsid w:val="005521A0"/>
    <w:rsid w:val="005528D3"/>
    <w:rsid w:val="005529CF"/>
    <w:rsid w:val="00552D7F"/>
    <w:rsid w:val="00552E4E"/>
    <w:rsid w:val="0055327B"/>
    <w:rsid w:val="00553684"/>
    <w:rsid w:val="00553985"/>
    <w:rsid w:val="00553A7A"/>
    <w:rsid w:val="00553ACE"/>
    <w:rsid w:val="00553BF3"/>
    <w:rsid w:val="0055409C"/>
    <w:rsid w:val="00554184"/>
    <w:rsid w:val="00554564"/>
    <w:rsid w:val="00554898"/>
    <w:rsid w:val="00555323"/>
    <w:rsid w:val="00555852"/>
    <w:rsid w:val="005558D6"/>
    <w:rsid w:val="00555B31"/>
    <w:rsid w:val="00555CBB"/>
    <w:rsid w:val="00555EE6"/>
    <w:rsid w:val="0055604B"/>
    <w:rsid w:val="005560BA"/>
    <w:rsid w:val="005563C8"/>
    <w:rsid w:val="005563F4"/>
    <w:rsid w:val="0055659B"/>
    <w:rsid w:val="00556735"/>
    <w:rsid w:val="00556919"/>
    <w:rsid w:val="00556B7E"/>
    <w:rsid w:val="00556E11"/>
    <w:rsid w:val="0055732B"/>
    <w:rsid w:val="0055741F"/>
    <w:rsid w:val="0055744E"/>
    <w:rsid w:val="005576FC"/>
    <w:rsid w:val="00557EC8"/>
    <w:rsid w:val="005602BE"/>
    <w:rsid w:val="00560349"/>
    <w:rsid w:val="00560F5F"/>
    <w:rsid w:val="005613F1"/>
    <w:rsid w:val="005615E7"/>
    <w:rsid w:val="00561B55"/>
    <w:rsid w:val="00561BDC"/>
    <w:rsid w:val="00562028"/>
    <w:rsid w:val="005621E0"/>
    <w:rsid w:val="00562348"/>
    <w:rsid w:val="00562927"/>
    <w:rsid w:val="00562F33"/>
    <w:rsid w:val="0056325C"/>
    <w:rsid w:val="005632CA"/>
    <w:rsid w:val="005633E7"/>
    <w:rsid w:val="0056353A"/>
    <w:rsid w:val="00563C14"/>
    <w:rsid w:val="00563E26"/>
    <w:rsid w:val="00564E7B"/>
    <w:rsid w:val="0056584B"/>
    <w:rsid w:val="00565994"/>
    <w:rsid w:val="00565CD9"/>
    <w:rsid w:val="00565E48"/>
    <w:rsid w:val="00565F55"/>
    <w:rsid w:val="00566085"/>
    <w:rsid w:val="005665CA"/>
    <w:rsid w:val="0056668C"/>
    <w:rsid w:val="00566A5F"/>
    <w:rsid w:val="00566B2C"/>
    <w:rsid w:val="00567171"/>
    <w:rsid w:val="00567295"/>
    <w:rsid w:val="00567371"/>
    <w:rsid w:val="00567555"/>
    <w:rsid w:val="005678AA"/>
    <w:rsid w:val="00567A3E"/>
    <w:rsid w:val="00567A87"/>
    <w:rsid w:val="00567BB0"/>
    <w:rsid w:val="00567DB1"/>
    <w:rsid w:val="00567F4A"/>
    <w:rsid w:val="0057066B"/>
    <w:rsid w:val="00570A9A"/>
    <w:rsid w:val="00570E97"/>
    <w:rsid w:val="00571C6A"/>
    <w:rsid w:val="00571DE5"/>
    <w:rsid w:val="00572399"/>
    <w:rsid w:val="00572956"/>
    <w:rsid w:val="00572A6A"/>
    <w:rsid w:val="00572EBC"/>
    <w:rsid w:val="00572F77"/>
    <w:rsid w:val="00573060"/>
    <w:rsid w:val="00573180"/>
    <w:rsid w:val="00573240"/>
    <w:rsid w:val="00573354"/>
    <w:rsid w:val="0057342C"/>
    <w:rsid w:val="005734D4"/>
    <w:rsid w:val="00573536"/>
    <w:rsid w:val="005743E2"/>
    <w:rsid w:val="005745EB"/>
    <w:rsid w:val="00574602"/>
    <w:rsid w:val="00574679"/>
    <w:rsid w:val="005746F0"/>
    <w:rsid w:val="0057488A"/>
    <w:rsid w:val="00574971"/>
    <w:rsid w:val="00574E60"/>
    <w:rsid w:val="0057525E"/>
    <w:rsid w:val="0057564B"/>
    <w:rsid w:val="00575700"/>
    <w:rsid w:val="00575A26"/>
    <w:rsid w:val="00575D5B"/>
    <w:rsid w:val="005760B6"/>
    <w:rsid w:val="00576390"/>
    <w:rsid w:val="00576457"/>
    <w:rsid w:val="00576D66"/>
    <w:rsid w:val="005771A0"/>
    <w:rsid w:val="005778CB"/>
    <w:rsid w:val="00577AD9"/>
    <w:rsid w:val="00577B05"/>
    <w:rsid w:val="00577D35"/>
    <w:rsid w:val="00577E1C"/>
    <w:rsid w:val="005805F2"/>
    <w:rsid w:val="00580812"/>
    <w:rsid w:val="00580C78"/>
    <w:rsid w:val="00580F76"/>
    <w:rsid w:val="00581450"/>
    <w:rsid w:val="00581455"/>
    <w:rsid w:val="00581928"/>
    <w:rsid w:val="00581E44"/>
    <w:rsid w:val="005821F0"/>
    <w:rsid w:val="005822B4"/>
    <w:rsid w:val="0058281A"/>
    <w:rsid w:val="0058286A"/>
    <w:rsid w:val="005829AF"/>
    <w:rsid w:val="00583318"/>
    <w:rsid w:val="005835E9"/>
    <w:rsid w:val="00583DBE"/>
    <w:rsid w:val="005840EF"/>
    <w:rsid w:val="00584AAF"/>
    <w:rsid w:val="00584ADD"/>
    <w:rsid w:val="00584B06"/>
    <w:rsid w:val="00584D0B"/>
    <w:rsid w:val="005852C8"/>
    <w:rsid w:val="00585926"/>
    <w:rsid w:val="00585D98"/>
    <w:rsid w:val="00585E4C"/>
    <w:rsid w:val="005860A8"/>
    <w:rsid w:val="005864C4"/>
    <w:rsid w:val="00586BB6"/>
    <w:rsid w:val="00587901"/>
    <w:rsid w:val="00587A3F"/>
    <w:rsid w:val="00590334"/>
    <w:rsid w:val="00590B61"/>
    <w:rsid w:val="00590BC9"/>
    <w:rsid w:val="00590C71"/>
    <w:rsid w:val="00590C93"/>
    <w:rsid w:val="00591054"/>
    <w:rsid w:val="00591355"/>
    <w:rsid w:val="00591C10"/>
    <w:rsid w:val="00591E43"/>
    <w:rsid w:val="00592AC2"/>
    <w:rsid w:val="00592CA0"/>
    <w:rsid w:val="00592D89"/>
    <w:rsid w:val="00592E0C"/>
    <w:rsid w:val="0059302E"/>
    <w:rsid w:val="00593310"/>
    <w:rsid w:val="005934D8"/>
    <w:rsid w:val="005937AC"/>
    <w:rsid w:val="00593934"/>
    <w:rsid w:val="00594493"/>
    <w:rsid w:val="00594D94"/>
    <w:rsid w:val="0059519E"/>
    <w:rsid w:val="0059561F"/>
    <w:rsid w:val="00595E72"/>
    <w:rsid w:val="00596182"/>
    <w:rsid w:val="00596614"/>
    <w:rsid w:val="00596ECE"/>
    <w:rsid w:val="005973AE"/>
    <w:rsid w:val="00597454"/>
    <w:rsid w:val="005A00DE"/>
    <w:rsid w:val="005A0345"/>
    <w:rsid w:val="005A0348"/>
    <w:rsid w:val="005A0499"/>
    <w:rsid w:val="005A056A"/>
    <w:rsid w:val="005A069C"/>
    <w:rsid w:val="005A0B54"/>
    <w:rsid w:val="005A0B70"/>
    <w:rsid w:val="005A0EE3"/>
    <w:rsid w:val="005A17B5"/>
    <w:rsid w:val="005A1960"/>
    <w:rsid w:val="005A1BEC"/>
    <w:rsid w:val="005A2B4B"/>
    <w:rsid w:val="005A2B5A"/>
    <w:rsid w:val="005A2DF8"/>
    <w:rsid w:val="005A32BC"/>
    <w:rsid w:val="005A3434"/>
    <w:rsid w:val="005A386A"/>
    <w:rsid w:val="005A3BD8"/>
    <w:rsid w:val="005A44A4"/>
    <w:rsid w:val="005A4523"/>
    <w:rsid w:val="005A474B"/>
    <w:rsid w:val="005A4B13"/>
    <w:rsid w:val="005A51D9"/>
    <w:rsid w:val="005A5201"/>
    <w:rsid w:val="005A5211"/>
    <w:rsid w:val="005A530D"/>
    <w:rsid w:val="005A53F2"/>
    <w:rsid w:val="005A5478"/>
    <w:rsid w:val="005A5AAA"/>
    <w:rsid w:val="005A5BA0"/>
    <w:rsid w:val="005A5C61"/>
    <w:rsid w:val="005A5EE4"/>
    <w:rsid w:val="005A6102"/>
    <w:rsid w:val="005A611B"/>
    <w:rsid w:val="005A616F"/>
    <w:rsid w:val="005A6547"/>
    <w:rsid w:val="005A65AB"/>
    <w:rsid w:val="005A6A39"/>
    <w:rsid w:val="005A6EC2"/>
    <w:rsid w:val="005A713F"/>
    <w:rsid w:val="005A724B"/>
    <w:rsid w:val="005A758A"/>
    <w:rsid w:val="005A781E"/>
    <w:rsid w:val="005B035E"/>
    <w:rsid w:val="005B05F6"/>
    <w:rsid w:val="005B08D8"/>
    <w:rsid w:val="005B131E"/>
    <w:rsid w:val="005B1381"/>
    <w:rsid w:val="005B1453"/>
    <w:rsid w:val="005B1858"/>
    <w:rsid w:val="005B1BC4"/>
    <w:rsid w:val="005B1E79"/>
    <w:rsid w:val="005B22B9"/>
    <w:rsid w:val="005B2615"/>
    <w:rsid w:val="005B272D"/>
    <w:rsid w:val="005B277F"/>
    <w:rsid w:val="005B2A06"/>
    <w:rsid w:val="005B2C15"/>
    <w:rsid w:val="005B2F26"/>
    <w:rsid w:val="005B2FB4"/>
    <w:rsid w:val="005B3052"/>
    <w:rsid w:val="005B30B4"/>
    <w:rsid w:val="005B3279"/>
    <w:rsid w:val="005B345B"/>
    <w:rsid w:val="005B3927"/>
    <w:rsid w:val="005B4219"/>
    <w:rsid w:val="005B42DC"/>
    <w:rsid w:val="005B438E"/>
    <w:rsid w:val="005B471F"/>
    <w:rsid w:val="005B4A77"/>
    <w:rsid w:val="005B4D63"/>
    <w:rsid w:val="005B5143"/>
    <w:rsid w:val="005B529D"/>
    <w:rsid w:val="005B5CB0"/>
    <w:rsid w:val="005B5E1E"/>
    <w:rsid w:val="005B5FAE"/>
    <w:rsid w:val="005B5FBC"/>
    <w:rsid w:val="005B63F1"/>
    <w:rsid w:val="005B6887"/>
    <w:rsid w:val="005B6E96"/>
    <w:rsid w:val="005B7697"/>
    <w:rsid w:val="005B7A67"/>
    <w:rsid w:val="005B7C0F"/>
    <w:rsid w:val="005B7DAB"/>
    <w:rsid w:val="005C05A3"/>
    <w:rsid w:val="005C071A"/>
    <w:rsid w:val="005C0751"/>
    <w:rsid w:val="005C0D5B"/>
    <w:rsid w:val="005C1688"/>
    <w:rsid w:val="005C1859"/>
    <w:rsid w:val="005C191A"/>
    <w:rsid w:val="005C1A14"/>
    <w:rsid w:val="005C1AF1"/>
    <w:rsid w:val="005C1B1B"/>
    <w:rsid w:val="005C2244"/>
    <w:rsid w:val="005C248D"/>
    <w:rsid w:val="005C2896"/>
    <w:rsid w:val="005C28B0"/>
    <w:rsid w:val="005C2A23"/>
    <w:rsid w:val="005C2D06"/>
    <w:rsid w:val="005C2F77"/>
    <w:rsid w:val="005C3AA7"/>
    <w:rsid w:val="005C3E50"/>
    <w:rsid w:val="005C44C1"/>
    <w:rsid w:val="005C4502"/>
    <w:rsid w:val="005C4651"/>
    <w:rsid w:val="005C4B07"/>
    <w:rsid w:val="005C5153"/>
    <w:rsid w:val="005C5D7F"/>
    <w:rsid w:val="005C5E74"/>
    <w:rsid w:val="005C62FE"/>
    <w:rsid w:val="005C654A"/>
    <w:rsid w:val="005C67F6"/>
    <w:rsid w:val="005C680F"/>
    <w:rsid w:val="005C68EC"/>
    <w:rsid w:val="005C6948"/>
    <w:rsid w:val="005C70B5"/>
    <w:rsid w:val="005C7420"/>
    <w:rsid w:val="005C76C5"/>
    <w:rsid w:val="005C7C42"/>
    <w:rsid w:val="005D01EF"/>
    <w:rsid w:val="005D0713"/>
    <w:rsid w:val="005D0994"/>
    <w:rsid w:val="005D09B4"/>
    <w:rsid w:val="005D12BC"/>
    <w:rsid w:val="005D1949"/>
    <w:rsid w:val="005D196A"/>
    <w:rsid w:val="005D2120"/>
    <w:rsid w:val="005D2154"/>
    <w:rsid w:val="005D256B"/>
    <w:rsid w:val="005D25E4"/>
    <w:rsid w:val="005D2666"/>
    <w:rsid w:val="005D27F4"/>
    <w:rsid w:val="005D2950"/>
    <w:rsid w:val="005D2D19"/>
    <w:rsid w:val="005D3090"/>
    <w:rsid w:val="005D3134"/>
    <w:rsid w:val="005D347C"/>
    <w:rsid w:val="005D3867"/>
    <w:rsid w:val="005D3F94"/>
    <w:rsid w:val="005D450A"/>
    <w:rsid w:val="005D455D"/>
    <w:rsid w:val="005D48DB"/>
    <w:rsid w:val="005D4BD9"/>
    <w:rsid w:val="005D4C26"/>
    <w:rsid w:val="005D598A"/>
    <w:rsid w:val="005D5A14"/>
    <w:rsid w:val="005D5AA6"/>
    <w:rsid w:val="005D5E17"/>
    <w:rsid w:val="005D62C2"/>
    <w:rsid w:val="005D6682"/>
    <w:rsid w:val="005D6BFC"/>
    <w:rsid w:val="005D7D40"/>
    <w:rsid w:val="005D7EC5"/>
    <w:rsid w:val="005D7FAA"/>
    <w:rsid w:val="005E0316"/>
    <w:rsid w:val="005E0813"/>
    <w:rsid w:val="005E09E6"/>
    <w:rsid w:val="005E0AC0"/>
    <w:rsid w:val="005E0E7A"/>
    <w:rsid w:val="005E1929"/>
    <w:rsid w:val="005E1C39"/>
    <w:rsid w:val="005E20A1"/>
    <w:rsid w:val="005E214C"/>
    <w:rsid w:val="005E250D"/>
    <w:rsid w:val="005E25AD"/>
    <w:rsid w:val="005E28B0"/>
    <w:rsid w:val="005E2F70"/>
    <w:rsid w:val="005E30F5"/>
    <w:rsid w:val="005E3741"/>
    <w:rsid w:val="005E384C"/>
    <w:rsid w:val="005E3911"/>
    <w:rsid w:val="005E3948"/>
    <w:rsid w:val="005E3BD8"/>
    <w:rsid w:val="005E3D6B"/>
    <w:rsid w:val="005E45E3"/>
    <w:rsid w:val="005E4759"/>
    <w:rsid w:val="005E47CE"/>
    <w:rsid w:val="005E49CB"/>
    <w:rsid w:val="005E4C83"/>
    <w:rsid w:val="005E4CFE"/>
    <w:rsid w:val="005E4EC5"/>
    <w:rsid w:val="005E4F75"/>
    <w:rsid w:val="005E55FF"/>
    <w:rsid w:val="005E5753"/>
    <w:rsid w:val="005E5990"/>
    <w:rsid w:val="005E59EB"/>
    <w:rsid w:val="005E5D34"/>
    <w:rsid w:val="005E5F92"/>
    <w:rsid w:val="005E5FC2"/>
    <w:rsid w:val="005E6181"/>
    <w:rsid w:val="005E6F6A"/>
    <w:rsid w:val="005E6FDB"/>
    <w:rsid w:val="005E7769"/>
    <w:rsid w:val="005E7972"/>
    <w:rsid w:val="005E7C9B"/>
    <w:rsid w:val="005E7DEC"/>
    <w:rsid w:val="005F00E2"/>
    <w:rsid w:val="005F01CD"/>
    <w:rsid w:val="005F06A2"/>
    <w:rsid w:val="005F08B5"/>
    <w:rsid w:val="005F0EC9"/>
    <w:rsid w:val="005F10E8"/>
    <w:rsid w:val="005F123A"/>
    <w:rsid w:val="005F12A4"/>
    <w:rsid w:val="005F1546"/>
    <w:rsid w:val="005F174D"/>
    <w:rsid w:val="005F22BF"/>
    <w:rsid w:val="005F2CD9"/>
    <w:rsid w:val="005F2CF8"/>
    <w:rsid w:val="005F2E1A"/>
    <w:rsid w:val="005F2E9B"/>
    <w:rsid w:val="005F32FF"/>
    <w:rsid w:val="005F393E"/>
    <w:rsid w:val="005F3A72"/>
    <w:rsid w:val="005F46C2"/>
    <w:rsid w:val="005F472D"/>
    <w:rsid w:val="005F4777"/>
    <w:rsid w:val="005F48B3"/>
    <w:rsid w:val="005F4A62"/>
    <w:rsid w:val="005F4B4F"/>
    <w:rsid w:val="005F4B81"/>
    <w:rsid w:val="005F4C2B"/>
    <w:rsid w:val="005F4C43"/>
    <w:rsid w:val="005F4E5C"/>
    <w:rsid w:val="005F508E"/>
    <w:rsid w:val="005F52FB"/>
    <w:rsid w:val="005F55AB"/>
    <w:rsid w:val="005F574D"/>
    <w:rsid w:val="005F64AF"/>
    <w:rsid w:val="005F669F"/>
    <w:rsid w:val="005F6A83"/>
    <w:rsid w:val="005F6D53"/>
    <w:rsid w:val="005F75FF"/>
    <w:rsid w:val="005F7C75"/>
    <w:rsid w:val="005F7FBB"/>
    <w:rsid w:val="0060001C"/>
    <w:rsid w:val="006002C3"/>
    <w:rsid w:val="0060058A"/>
    <w:rsid w:val="00600796"/>
    <w:rsid w:val="00600B65"/>
    <w:rsid w:val="00601446"/>
    <w:rsid w:val="006020E3"/>
    <w:rsid w:val="006026FE"/>
    <w:rsid w:val="00602AA4"/>
    <w:rsid w:val="006030B1"/>
    <w:rsid w:val="006030E9"/>
    <w:rsid w:val="006032F9"/>
    <w:rsid w:val="006033A4"/>
    <w:rsid w:val="006036A8"/>
    <w:rsid w:val="00603A27"/>
    <w:rsid w:val="00603A58"/>
    <w:rsid w:val="00603CC8"/>
    <w:rsid w:val="006041AB"/>
    <w:rsid w:val="00604275"/>
    <w:rsid w:val="006043E2"/>
    <w:rsid w:val="006046CD"/>
    <w:rsid w:val="00604968"/>
    <w:rsid w:val="00604A5D"/>
    <w:rsid w:val="006052E2"/>
    <w:rsid w:val="00605B10"/>
    <w:rsid w:val="00605D45"/>
    <w:rsid w:val="00605DAF"/>
    <w:rsid w:val="00605E24"/>
    <w:rsid w:val="00605ECD"/>
    <w:rsid w:val="0060738C"/>
    <w:rsid w:val="006073C1"/>
    <w:rsid w:val="00607886"/>
    <w:rsid w:val="00607BB9"/>
    <w:rsid w:val="00607D85"/>
    <w:rsid w:val="00610603"/>
    <w:rsid w:val="006109C1"/>
    <w:rsid w:val="006109FC"/>
    <w:rsid w:val="00610EDF"/>
    <w:rsid w:val="00610F38"/>
    <w:rsid w:val="0061107E"/>
    <w:rsid w:val="00611214"/>
    <w:rsid w:val="006119E9"/>
    <w:rsid w:val="00611C4F"/>
    <w:rsid w:val="00611CB3"/>
    <w:rsid w:val="00612017"/>
    <w:rsid w:val="0061268E"/>
    <w:rsid w:val="00612B0B"/>
    <w:rsid w:val="00612F64"/>
    <w:rsid w:val="006131D6"/>
    <w:rsid w:val="006131ED"/>
    <w:rsid w:val="00613230"/>
    <w:rsid w:val="00613DE6"/>
    <w:rsid w:val="00614A44"/>
    <w:rsid w:val="00614BAC"/>
    <w:rsid w:val="00614CAE"/>
    <w:rsid w:val="006154EE"/>
    <w:rsid w:val="0061568E"/>
    <w:rsid w:val="00615A56"/>
    <w:rsid w:val="00615D18"/>
    <w:rsid w:val="00615EB9"/>
    <w:rsid w:val="0061613B"/>
    <w:rsid w:val="00616584"/>
    <w:rsid w:val="00620C07"/>
    <w:rsid w:val="00620DB2"/>
    <w:rsid w:val="00620E2B"/>
    <w:rsid w:val="0062100B"/>
    <w:rsid w:val="0062140B"/>
    <w:rsid w:val="006216EE"/>
    <w:rsid w:val="00621A84"/>
    <w:rsid w:val="00621B3B"/>
    <w:rsid w:val="00621D44"/>
    <w:rsid w:val="00621D6A"/>
    <w:rsid w:val="00621FEE"/>
    <w:rsid w:val="00622449"/>
    <w:rsid w:val="00622B9C"/>
    <w:rsid w:val="00622C8D"/>
    <w:rsid w:val="00622DCC"/>
    <w:rsid w:val="00623149"/>
    <w:rsid w:val="00623A9C"/>
    <w:rsid w:val="00624160"/>
    <w:rsid w:val="006248C6"/>
    <w:rsid w:val="00624AC6"/>
    <w:rsid w:val="00624D2D"/>
    <w:rsid w:val="00624E41"/>
    <w:rsid w:val="00624F91"/>
    <w:rsid w:val="00625191"/>
    <w:rsid w:val="00625681"/>
    <w:rsid w:val="006258ED"/>
    <w:rsid w:val="006261E1"/>
    <w:rsid w:val="006263E4"/>
    <w:rsid w:val="006267C1"/>
    <w:rsid w:val="00626910"/>
    <w:rsid w:val="00626B64"/>
    <w:rsid w:val="00626FE4"/>
    <w:rsid w:val="00627242"/>
    <w:rsid w:val="00627623"/>
    <w:rsid w:val="00627D8A"/>
    <w:rsid w:val="00630459"/>
    <w:rsid w:val="0063054B"/>
    <w:rsid w:val="006305BB"/>
    <w:rsid w:val="006307F2"/>
    <w:rsid w:val="00630896"/>
    <w:rsid w:val="006309A2"/>
    <w:rsid w:val="00630E49"/>
    <w:rsid w:val="00631103"/>
    <w:rsid w:val="006313BA"/>
    <w:rsid w:val="0063156E"/>
    <w:rsid w:val="00632295"/>
    <w:rsid w:val="00632559"/>
    <w:rsid w:val="00632755"/>
    <w:rsid w:val="00632915"/>
    <w:rsid w:val="00632984"/>
    <w:rsid w:val="00632DC4"/>
    <w:rsid w:val="00632DDE"/>
    <w:rsid w:val="00633361"/>
    <w:rsid w:val="00633891"/>
    <w:rsid w:val="00633AA6"/>
    <w:rsid w:val="00634065"/>
    <w:rsid w:val="00634B43"/>
    <w:rsid w:val="00634DF4"/>
    <w:rsid w:val="00634FA6"/>
    <w:rsid w:val="00634FBF"/>
    <w:rsid w:val="00635084"/>
    <w:rsid w:val="006353A9"/>
    <w:rsid w:val="006355BC"/>
    <w:rsid w:val="00635A0B"/>
    <w:rsid w:val="00636103"/>
    <w:rsid w:val="00636359"/>
    <w:rsid w:val="0063687C"/>
    <w:rsid w:val="0063695F"/>
    <w:rsid w:val="00636A71"/>
    <w:rsid w:val="00636BB2"/>
    <w:rsid w:val="00636E97"/>
    <w:rsid w:val="0063703B"/>
    <w:rsid w:val="006372CF"/>
    <w:rsid w:val="00637435"/>
    <w:rsid w:val="006374A7"/>
    <w:rsid w:val="006374B3"/>
    <w:rsid w:val="0063773C"/>
    <w:rsid w:val="006402FF"/>
    <w:rsid w:val="0064108C"/>
    <w:rsid w:val="0064117C"/>
    <w:rsid w:val="006412CE"/>
    <w:rsid w:val="00641580"/>
    <w:rsid w:val="006417CA"/>
    <w:rsid w:val="00641964"/>
    <w:rsid w:val="00641C8A"/>
    <w:rsid w:val="00641EB6"/>
    <w:rsid w:val="006420D1"/>
    <w:rsid w:val="00642229"/>
    <w:rsid w:val="0064237B"/>
    <w:rsid w:val="00642576"/>
    <w:rsid w:val="006426AD"/>
    <w:rsid w:val="006428AC"/>
    <w:rsid w:val="0064296C"/>
    <w:rsid w:val="006429A8"/>
    <w:rsid w:val="00642E4B"/>
    <w:rsid w:val="00643147"/>
    <w:rsid w:val="00643304"/>
    <w:rsid w:val="00643BBD"/>
    <w:rsid w:val="00643D6B"/>
    <w:rsid w:val="0064401F"/>
    <w:rsid w:val="006445DE"/>
    <w:rsid w:val="00644688"/>
    <w:rsid w:val="00644DEC"/>
    <w:rsid w:val="0064506B"/>
    <w:rsid w:val="006453A7"/>
    <w:rsid w:val="006453F9"/>
    <w:rsid w:val="006454C4"/>
    <w:rsid w:val="006455AC"/>
    <w:rsid w:val="006458A8"/>
    <w:rsid w:val="006458F5"/>
    <w:rsid w:val="00645905"/>
    <w:rsid w:val="00645A8D"/>
    <w:rsid w:val="00645D93"/>
    <w:rsid w:val="0064625E"/>
    <w:rsid w:val="006465E6"/>
    <w:rsid w:val="006468CB"/>
    <w:rsid w:val="00646CBB"/>
    <w:rsid w:val="00646D24"/>
    <w:rsid w:val="00646EE0"/>
    <w:rsid w:val="00646F3A"/>
    <w:rsid w:val="006472E8"/>
    <w:rsid w:val="0064738B"/>
    <w:rsid w:val="006473CA"/>
    <w:rsid w:val="00647595"/>
    <w:rsid w:val="0064763E"/>
    <w:rsid w:val="00647CAA"/>
    <w:rsid w:val="00650437"/>
    <w:rsid w:val="0065046C"/>
    <w:rsid w:val="00650D92"/>
    <w:rsid w:val="0065102D"/>
    <w:rsid w:val="006513E0"/>
    <w:rsid w:val="0065183F"/>
    <w:rsid w:val="00651998"/>
    <w:rsid w:val="006522BC"/>
    <w:rsid w:val="006524E2"/>
    <w:rsid w:val="00652F0D"/>
    <w:rsid w:val="006531E5"/>
    <w:rsid w:val="00653363"/>
    <w:rsid w:val="00653463"/>
    <w:rsid w:val="00653BFA"/>
    <w:rsid w:val="00653D26"/>
    <w:rsid w:val="00654549"/>
    <w:rsid w:val="00654580"/>
    <w:rsid w:val="006545DB"/>
    <w:rsid w:val="00654875"/>
    <w:rsid w:val="00654E4A"/>
    <w:rsid w:val="00655215"/>
    <w:rsid w:val="006552C4"/>
    <w:rsid w:val="0065545E"/>
    <w:rsid w:val="006554BF"/>
    <w:rsid w:val="006556F2"/>
    <w:rsid w:val="0065579B"/>
    <w:rsid w:val="00655A44"/>
    <w:rsid w:val="00655D45"/>
    <w:rsid w:val="00655EA2"/>
    <w:rsid w:val="006566E6"/>
    <w:rsid w:val="00656BB4"/>
    <w:rsid w:val="00656DE8"/>
    <w:rsid w:val="0065715B"/>
    <w:rsid w:val="006577D9"/>
    <w:rsid w:val="00657A0A"/>
    <w:rsid w:val="00657F6E"/>
    <w:rsid w:val="00657F83"/>
    <w:rsid w:val="00660081"/>
    <w:rsid w:val="0066061E"/>
    <w:rsid w:val="006608AB"/>
    <w:rsid w:val="00660F1E"/>
    <w:rsid w:val="006612B4"/>
    <w:rsid w:val="00661BC8"/>
    <w:rsid w:val="00662F80"/>
    <w:rsid w:val="0066308D"/>
    <w:rsid w:val="00663261"/>
    <w:rsid w:val="00663262"/>
    <w:rsid w:val="00663923"/>
    <w:rsid w:val="00663C66"/>
    <w:rsid w:val="00663C74"/>
    <w:rsid w:val="00663DA8"/>
    <w:rsid w:val="006649BA"/>
    <w:rsid w:val="00664FFF"/>
    <w:rsid w:val="006650ED"/>
    <w:rsid w:val="0066524E"/>
    <w:rsid w:val="0066536C"/>
    <w:rsid w:val="006655D4"/>
    <w:rsid w:val="00665776"/>
    <w:rsid w:val="006657B8"/>
    <w:rsid w:val="006658D6"/>
    <w:rsid w:val="00665AAA"/>
    <w:rsid w:val="00665C4D"/>
    <w:rsid w:val="00665D00"/>
    <w:rsid w:val="00665DEE"/>
    <w:rsid w:val="0066607B"/>
    <w:rsid w:val="006663EE"/>
    <w:rsid w:val="0066657F"/>
    <w:rsid w:val="006665F5"/>
    <w:rsid w:val="006667B7"/>
    <w:rsid w:val="006668C0"/>
    <w:rsid w:val="00666B21"/>
    <w:rsid w:val="00666B84"/>
    <w:rsid w:val="00666CD4"/>
    <w:rsid w:val="00667124"/>
    <w:rsid w:val="00667127"/>
    <w:rsid w:val="0066719A"/>
    <w:rsid w:val="006671B3"/>
    <w:rsid w:val="006673AC"/>
    <w:rsid w:val="00667460"/>
    <w:rsid w:val="00667470"/>
    <w:rsid w:val="0066781F"/>
    <w:rsid w:val="00667AAA"/>
    <w:rsid w:val="00667D78"/>
    <w:rsid w:val="00670329"/>
    <w:rsid w:val="006708FF"/>
    <w:rsid w:val="00671020"/>
    <w:rsid w:val="00671201"/>
    <w:rsid w:val="00671F4F"/>
    <w:rsid w:val="00672522"/>
    <w:rsid w:val="006728C2"/>
    <w:rsid w:val="00672ABE"/>
    <w:rsid w:val="00672F64"/>
    <w:rsid w:val="00673424"/>
    <w:rsid w:val="006737EC"/>
    <w:rsid w:val="00673834"/>
    <w:rsid w:val="00673B5B"/>
    <w:rsid w:val="0067411A"/>
    <w:rsid w:val="00674354"/>
    <w:rsid w:val="0067470F"/>
    <w:rsid w:val="00674711"/>
    <w:rsid w:val="00674F4F"/>
    <w:rsid w:val="00675740"/>
    <w:rsid w:val="00675B46"/>
    <w:rsid w:val="00675C89"/>
    <w:rsid w:val="00675DFE"/>
    <w:rsid w:val="0067608C"/>
    <w:rsid w:val="006762DB"/>
    <w:rsid w:val="00676485"/>
    <w:rsid w:val="0067712A"/>
    <w:rsid w:val="006778AB"/>
    <w:rsid w:val="00677C45"/>
    <w:rsid w:val="00677CAB"/>
    <w:rsid w:val="00677E71"/>
    <w:rsid w:val="00677FB0"/>
    <w:rsid w:val="00680165"/>
    <w:rsid w:val="006804F1"/>
    <w:rsid w:val="0068060F"/>
    <w:rsid w:val="006807B2"/>
    <w:rsid w:val="006807DD"/>
    <w:rsid w:val="0068080A"/>
    <w:rsid w:val="006808B7"/>
    <w:rsid w:val="00680901"/>
    <w:rsid w:val="00680DD5"/>
    <w:rsid w:val="0068127E"/>
    <w:rsid w:val="00681D38"/>
    <w:rsid w:val="006820E6"/>
    <w:rsid w:val="0068222D"/>
    <w:rsid w:val="00682AEB"/>
    <w:rsid w:val="00682C47"/>
    <w:rsid w:val="00682E52"/>
    <w:rsid w:val="00682FFC"/>
    <w:rsid w:val="00683012"/>
    <w:rsid w:val="00683088"/>
    <w:rsid w:val="006834A2"/>
    <w:rsid w:val="006836C2"/>
    <w:rsid w:val="006845C3"/>
    <w:rsid w:val="00684603"/>
    <w:rsid w:val="00684A88"/>
    <w:rsid w:val="00684D4A"/>
    <w:rsid w:val="006850EA"/>
    <w:rsid w:val="006853E7"/>
    <w:rsid w:val="006854C3"/>
    <w:rsid w:val="006856EB"/>
    <w:rsid w:val="00685DA2"/>
    <w:rsid w:val="00685F65"/>
    <w:rsid w:val="006860BA"/>
    <w:rsid w:val="0068642B"/>
    <w:rsid w:val="006864AE"/>
    <w:rsid w:val="00686783"/>
    <w:rsid w:val="00687104"/>
    <w:rsid w:val="006871EC"/>
    <w:rsid w:val="006875AD"/>
    <w:rsid w:val="0069019C"/>
    <w:rsid w:val="0069057D"/>
    <w:rsid w:val="00690A49"/>
    <w:rsid w:val="00691085"/>
    <w:rsid w:val="0069114B"/>
    <w:rsid w:val="006911EB"/>
    <w:rsid w:val="0069196B"/>
    <w:rsid w:val="00691B97"/>
    <w:rsid w:val="00691CCE"/>
    <w:rsid w:val="0069291D"/>
    <w:rsid w:val="00692D76"/>
    <w:rsid w:val="00692F8A"/>
    <w:rsid w:val="0069311A"/>
    <w:rsid w:val="0069334C"/>
    <w:rsid w:val="00693387"/>
    <w:rsid w:val="006935DA"/>
    <w:rsid w:val="00693CA3"/>
    <w:rsid w:val="00693F3E"/>
    <w:rsid w:val="0069407D"/>
    <w:rsid w:val="00694691"/>
    <w:rsid w:val="006946E0"/>
    <w:rsid w:val="00694782"/>
    <w:rsid w:val="00694DC1"/>
    <w:rsid w:val="00694F03"/>
    <w:rsid w:val="00694FDC"/>
    <w:rsid w:val="0069501E"/>
    <w:rsid w:val="00695143"/>
    <w:rsid w:val="0069537D"/>
    <w:rsid w:val="00695439"/>
    <w:rsid w:val="0069559F"/>
    <w:rsid w:val="006958C5"/>
    <w:rsid w:val="00695A4F"/>
    <w:rsid w:val="00695C56"/>
    <w:rsid w:val="00695CDB"/>
    <w:rsid w:val="00695CDF"/>
    <w:rsid w:val="00695D08"/>
    <w:rsid w:val="00695D84"/>
    <w:rsid w:val="0069632F"/>
    <w:rsid w:val="00696433"/>
    <w:rsid w:val="00696541"/>
    <w:rsid w:val="00696B49"/>
    <w:rsid w:val="00696EC6"/>
    <w:rsid w:val="006977B6"/>
    <w:rsid w:val="00697A4C"/>
    <w:rsid w:val="00697A91"/>
    <w:rsid w:val="00697C18"/>
    <w:rsid w:val="00697CD0"/>
    <w:rsid w:val="00697D68"/>
    <w:rsid w:val="006A05EA"/>
    <w:rsid w:val="006A0830"/>
    <w:rsid w:val="006A0940"/>
    <w:rsid w:val="006A1015"/>
    <w:rsid w:val="006A1616"/>
    <w:rsid w:val="006A1B95"/>
    <w:rsid w:val="006A1C5B"/>
    <w:rsid w:val="006A203B"/>
    <w:rsid w:val="006A26A8"/>
    <w:rsid w:val="006A279E"/>
    <w:rsid w:val="006A282F"/>
    <w:rsid w:val="006A2B69"/>
    <w:rsid w:val="006A2B6C"/>
    <w:rsid w:val="006A2E80"/>
    <w:rsid w:val="006A2F72"/>
    <w:rsid w:val="006A30F5"/>
    <w:rsid w:val="006A3233"/>
    <w:rsid w:val="006A3BC2"/>
    <w:rsid w:val="006A3F7E"/>
    <w:rsid w:val="006A434D"/>
    <w:rsid w:val="006A48C7"/>
    <w:rsid w:val="006A492D"/>
    <w:rsid w:val="006A496B"/>
    <w:rsid w:val="006A49E1"/>
    <w:rsid w:val="006A4A8E"/>
    <w:rsid w:val="006A4B7A"/>
    <w:rsid w:val="006A590D"/>
    <w:rsid w:val="006A5BF1"/>
    <w:rsid w:val="006A5E2E"/>
    <w:rsid w:val="006A6060"/>
    <w:rsid w:val="006A6478"/>
    <w:rsid w:val="006A69A5"/>
    <w:rsid w:val="006A75DF"/>
    <w:rsid w:val="006B01C8"/>
    <w:rsid w:val="006B0CC0"/>
    <w:rsid w:val="006B131A"/>
    <w:rsid w:val="006B1705"/>
    <w:rsid w:val="006B18A8"/>
    <w:rsid w:val="006B1942"/>
    <w:rsid w:val="006B1CCE"/>
    <w:rsid w:val="006B1E3D"/>
    <w:rsid w:val="006B2116"/>
    <w:rsid w:val="006B212F"/>
    <w:rsid w:val="006B295B"/>
    <w:rsid w:val="006B2C10"/>
    <w:rsid w:val="006B2E48"/>
    <w:rsid w:val="006B3130"/>
    <w:rsid w:val="006B33B2"/>
    <w:rsid w:val="006B3519"/>
    <w:rsid w:val="006B38D3"/>
    <w:rsid w:val="006B3AB8"/>
    <w:rsid w:val="006B3ACE"/>
    <w:rsid w:val="006B3C53"/>
    <w:rsid w:val="006B3E8C"/>
    <w:rsid w:val="006B3F30"/>
    <w:rsid w:val="006B3FD9"/>
    <w:rsid w:val="006B5919"/>
    <w:rsid w:val="006B5963"/>
    <w:rsid w:val="006B59EF"/>
    <w:rsid w:val="006B6110"/>
    <w:rsid w:val="006B6338"/>
    <w:rsid w:val="006B6828"/>
    <w:rsid w:val="006B6970"/>
    <w:rsid w:val="006B6AA8"/>
    <w:rsid w:val="006B6AB4"/>
    <w:rsid w:val="006B6B16"/>
    <w:rsid w:val="006B6C83"/>
    <w:rsid w:val="006B6CD3"/>
    <w:rsid w:val="006B6CFC"/>
    <w:rsid w:val="006B6DC6"/>
    <w:rsid w:val="006B6FE2"/>
    <w:rsid w:val="006B7130"/>
    <w:rsid w:val="006B736C"/>
    <w:rsid w:val="006B77F4"/>
    <w:rsid w:val="006B78E9"/>
    <w:rsid w:val="006B7D0C"/>
    <w:rsid w:val="006C03D3"/>
    <w:rsid w:val="006C076C"/>
    <w:rsid w:val="006C0EDA"/>
    <w:rsid w:val="006C138A"/>
    <w:rsid w:val="006C15E8"/>
    <w:rsid w:val="006C16BD"/>
    <w:rsid w:val="006C1C04"/>
    <w:rsid w:val="006C1FDA"/>
    <w:rsid w:val="006C21C8"/>
    <w:rsid w:val="006C2545"/>
    <w:rsid w:val="006C2591"/>
    <w:rsid w:val="006C2760"/>
    <w:rsid w:val="006C292B"/>
    <w:rsid w:val="006C2A43"/>
    <w:rsid w:val="006C3044"/>
    <w:rsid w:val="006C353D"/>
    <w:rsid w:val="006C35DB"/>
    <w:rsid w:val="006C3B36"/>
    <w:rsid w:val="006C3F2D"/>
    <w:rsid w:val="006C4722"/>
    <w:rsid w:val="006C47E2"/>
    <w:rsid w:val="006C4838"/>
    <w:rsid w:val="006C4872"/>
    <w:rsid w:val="006C4D2A"/>
    <w:rsid w:val="006C4EEB"/>
    <w:rsid w:val="006C5185"/>
    <w:rsid w:val="006C5575"/>
    <w:rsid w:val="006C5B6B"/>
    <w:rsid w:val="006C5C8B"/>
    <w:rsid w:val="006C5F2B"/>
    <w:rsid w:val="006C61DC"/>
    <w:rsid w:val="006C6215"/>
    <w:rsid w:val="006C662B"/>
    <w:rsid w:val="006C6737"/>
    <w:rsid w:val="006C6846"/>
    <w:rsid w:val="006C698C"/>
    <w:rsid w:val="006C72C5"/>
    <w:rsid w:val="006C78EA"/>
    <w:rsid w:val="006C7D38"/>
    <w:rsid w:val="006D0224"/>
    <w:rsid w:val="006D03C5"/>
    <w:rsid w:val="006D075C"/>
    <w:rsid w:val="006D0771"/>
    <w:rsid w:val="006D0F09"/>
    <w:rsid w:val="006D1079"/>
    <w:rsid w:val="006D1220"/>
    <w:rsid w:val="006D1601"/>
    <w:rsid w:val="006D19FF"/>
    <w:rsid w:val="006D230C"/>
    <w:rsid w:val="006D2366"/>
    <w:rsid w:val="006D2468"/>
    <w:rsid w:val="006D247A"/>
    <w:rsid w:val="006D2969"/>
    <w:rsid w:val="006D2D61"/>
    <w:rsid w:val="006D2E7F"/>
    <w:rsid w:val="006D2FF2"/>
    <w:rsid w:val="006D3025"/>
    <w:rsid w:val="006D33BD"/>
    <w:rsid w:val="006D342D"/>
    <w:rsid w:val="006D3707"/>
    <w:rsid w:val="006D3765"/>
    <w:rsid w:val="006D3A94"/>
    <w:rsid w:val="006D3BCC"/>
    <w:rsid w:val="006D3D6A"/>
    <w:rsid w:val="006D40A4"/>
    <w:rsid w:val="006D41EA"/>
    <w:rsid w:val="006D4367"/>
    <w:rsid w:val="006D4ABE"/>
    <w:rsid w:val="006D5222"/>
    <w:rsid w:val="006D5C0A"/>
    <w:rsid w:val="006D5DD3"/>
    <w:rsid w:val="006D6273"/>
    <w:rsid w:val="006D6370"/>
    <w:rsid w:val="006D693B"/>
    <w:rsid w:val="006D6A4B"/>
    <w:rsid w:val="006D6BA2"/>
    <w:rsid w:val="006D6CC6"/>
    <w:rsid w:val="006D700F"/>
    <w:rsid w:val="006D746C"/>
    <w:rsid w:val="006D7828"/>
    <w:rsid w:val="006D787F"/>
    <w:rsid w:val="006D7A1F"/>
    <w:rsid w:val="006D7BE8"/>
    <w:rsid w:val="006D7E35"/>
    <w:rsid w:val="006E016C"/>
    <w:rsid w:val="006E01A0"/>
    <w:rsid w:val="006E0765"/>
    <w:rsid w:val="006E09FB"/>
    <w:rsid w:val="006E0ABE"/>
    <w:rsid w:val="006E109D"/>
    <w:rsid w:val="006E14C8"/>
    <w:rsid w:val="006E14DF"/>
    <w:rsid w:val="006E1A73"/>
    <w:rsid w:val="006E1EDC"/>
    <w:rsid w:val="006E2197"/>
    <w:rsid w:val="006E2355"/>
    <w:rsid w:val="006E2551"/>
    <w:rsid w:val="006E25EA"/>
    <w:rsid w:val="006E2E07"/>
    <w:rsid w:val="006E2F3C"/>
    <w:rsid w:val="006E3230"/>
    <w:rsid w:val="006E335F"/>
    <w:rsid w:val="006E376D"/>
    <w:rsid w:val="006E37F1"/>
    <w:rsid w:val="006E3945"/>
    <w:rsid w:val="006E3E1F"/>
    <w:rsid w:val="006E3E57"/>
    <w:rsid w:val="006E3F60"/>
    <w:rsid w:val="006E4004"/>
    <w:rsid w:val="006E4359"/>
    <w:rsid w:val="006E47BD"/>
    <w:rsid w:val="006E4894"/>
    <w:rsid w:val="006E50CE"/>
    <w:rsid w:val="006E5357"/>
    <w:rsid w:val="006E56D6"/>
    <w:rsid w:val="006E60D4"/>
    <w:rsid w:val="006E6419"/>
    <w:rsid w:val="006E642B"/>
    <w:rsid w:val="006E68C7"/>
    <w:rsid w:val="006E68CF"/>
    <w:rsid w:val="006E6C11"/>
    <w:rsid w:val="006E6E8D"/>
    <w:rsid w:val="006E6F5B"/>
    <w:rsid w:val="006E6F87"/>
    <w:rsid w:val="006E73EB"/>
    <w:rsid w:val="006E75E3"/>
    <w:rsid w:val="006E7707"/>
    <w:rsid w:val="006E784F"/>
    <w:rsid w:val="006F03E6"/>
    <w:rsid w:val="006F0786"/>
    <w:rsid w:val="006F083A"/>
    <w:rsid w:val="006F0BBF"/>
    <w:rsid w:val="006F0E03"/>
    <w:rsid w:val="006F1813"/>
    <w:rsid w:val="006F18E6"/>
    <w:rsid w:val="006F21EA"/>
    <w:rsid w:val="006F2409"/>
    <w:rsid w:val="006F2633"/>
    <w:rsid w:val="006F2893"/>
    <w:rsid w:val="006F28F6"/>
    <w:rsid w:val="006F297F"/>
    <w:rsid w:val="006F2C08"/>
    <w:rsid w:val="006F35AE"/>
    <w:rsid w:val="006F35EC"/>
    <w:rsid w:val="006F35F2"/>
    <w:rsid w:val="006F3884"/>
    <w:rsid w:val="006F3988"/>
    <w:rsid w:val="006F3DB6"/>
    <w:rsid w:val="006F3FC2"/>
    <w:rsid w:val="006F3FCB"/>
    <w:rsid w:val="006F408E"/>
    <w:rsid w:val="006F40A0"/>
    <w:rsid w:val="006F4509"/>
    <w:rsid w:val="006F4C4E"/>
    <w:rsid w:val="006F4E87"/>
    <w:rsid w:val="006F5146"/>
    <w:rsid w:val="006F5311"/>
    <w:rsid w:val="006F53A6"/>
    <w:rsid w:val="006F5E53"/>
    <w:rsid w:val="006F5F8F"/>
    <w:rsid w:val="006F604D"/>
    <w:rsid w:val="006F6066"/>
    <w:rsid w:val="006F61B3"/>
    <w:rsid w:val="006F6525"/>
    <w:rsid w:val="006F6E9C"/>
    <w:rsid w:val="006F6F95"/>
    <w:rsid w:val="006F71C0"/>
    <w:rsid w:val="006F71D1"/>
    <w:rsid w:val="006F781D"/>
    <w:rsid w:val="006F7A85"/>
    <w:rsid w:val="006F7F9A"/>
    <w:rsid w:val="007001E1"/>
    <w:rsid w:val="007002CF"/>
    <w:rsid w:val="007004CE"/>
    <w:rsid w:val="00700ADE"/>
    <w:rsid w:val="0070161F"/>
    <w:rsid w:val="007018FE"/>
    <w:rsid w:val="00701995"/>
    <w:rsid w:val="0070199A"/>
    <w:rsid w:val="00701D99"/>
    <w:rsid w:val="007020FF"/>
    <w:rsid w:val="00702449"/>
    <w:rsid w:val="00702C48"/>
    <w:rsid w:val="00702E41"/>
    <w:rsid w:val="00703922"/>
    <w:rsid w:val="00703954"/>
    <w:rsid w:val="007040B1"/>
    <w:rsid w:val="00704115"/>
    <w:rsid w:val="007046BC"/>
    <w:rsid w:val="00704725"/>
    <w:rsid w:val="00704967"/>
    <w:rsid w:val="00704A8E"/>
    <w:rsid w:val="00704AF8"/>
    <w:rsid w:val="00704CB9"/>
    <w:rsid w:val="00704F41"/>
    <w:rsid w:val="00706D1C"/>
    <w:rsid w:val="007071B9"/>
    <w:rsid w:val="007071D2"/>
    <w:rsid w:val="007071F6"/>
    <w:rsid w:val="00707285"/>
    <w:rsid w:val="007077A0"/>
    <w:rsid w:val="007078C2"/>
    <w:rsid w:val="00707ACB"/>
    <w:rsid w:val="00707AFD"/>
    <w:rsid w:val="007100CF"/>
    <w:rsid w:val="00710154"/>
    <w:rsid w:val="0071070A"/>
    <w:rsid w:val="00710C78"/>
    <w:rsid w:val="00710DD2"/>
    <w:rsid w:val="00710FFC"/>
    <w:rsid w:val="00711129"/>
    <w:rsid w:val="007113D0"/>
    <w:rsid w:val="007115A2"/>
    <w:rsid w:val="00711B7A"/>
    <w:rsid w:val="00711C34"/>
    <w:rsid w:val="00711D56"/>
    <w:rsid w:val="00711D9F"/>
    <w:rsid w:val="0071232A"/>
    <w:rsid w:val="007126EC"/>
    <w:rsid w:val="007127F2"/>
    <w:rsid w:val="0071281D"/>
    <w:rsid w:val="00712D27"/>
    <w:rsid w:val="00712D30"/>
    <w:rsid w:val="00712FF0"/>
    <w:rsid w:val="0071313D"/>
    <w:rsid w:val="00713239"/>
    <w:rsid w:val="007132B3"/>
    <w:rsid w:val="00713624"/>
    <w:rsid w:val="00713683"/>
    <w:rsid w:val="0071392E"/>
    <w:rsid w:val="00713B82"/>
    <w:rsid w:val="00713E73"/>
    <w:rsid w:val="00713FCC"/>
    <w:rsid w:val="00714875"/>
    <w:rsid w:val="00714A07"/>
    <w:rsid w:val="00714D0D"/>
    <w:rsid w:val="00714D74"/>
    <w:rsid w:val="007163DD"/>
    <w:rsid w:val="00716513"/>
    <w:rsid w:val="00716719"/>
    <w:rsid w:val="00716D97"/>
    <w:rsid w:val="0071719D"/>
    <w:rsid w:val="007171C9"/>
    <w:rsid w:val="00717724"/>
    <w:rsid w:val="00717B29"/>
    <w:rsid w:val="00717FEA"/>
    <w:rsid w:val="00720033"/>
    <w:rsid w:val="0072028D"/>
    <w:rsid w:val="007205AF"/>
    <w:rsid w:val="0072098B"/>
    <w:rsid w:val="00720AD5"/>
    <w:rsid w:val="00720E54"/>
    <w:rsid w:val="00720E85"/>
    <w:rsid w:val="00721129"/>
    <w:rsid w:val="007211AE"/>
    <w:rsid w:val="007216ED"/>
    <w:rsid w:val="007223B5"/>
    <w:rsid w:val="007224A9"/>
    <w:rsid w:val="007227E2"/>
    <w:rsid w:val="00722865"/>
    <w:rsid w:val="00722935"/>
    <w:rsid w:val="00722C28"/>
    <w:rsid w:val="00722D66"/>
    <w:rsid w:val="00722EDD"/>
    <w:rsid w:val="007232F8"/>
    <w:rsid w:val="007232FA"/>
    <w:rsid w:val="00723811"/>
    <w:rsid w:val="00723842"/>
    <w:rsid w:val="007239BC"/>
    <w:rsid w:val="00723D1F"/>
    <w:rsid w:val="0072403E"/>
    <w:rsid w:val="00724882"/>
    <w:rsid w:val="00724A1D"/>
    <w:rsid w:val="00724C78"/>
    <w:rsid w:val="00725D99"/>
    <w:rsid w:val="00726363"/>
    <w:rsid w:val="007267EA"/>
    <w:rsid w:val="00726D23"/>
    <w:rsid w:val="007271EA"/>
    <w:rsid w:val="0072721B"/>
    <w:rsid w:val="007279D6"/>
    <w:rsid w:val="00727A20"/>
    <w:rsid w:val="00727B3F"/>
    <w:rsid w:val="00727C6D"/>
    <w:rsid w:val="00727D49"/>
    <w:rsid w:val="00730348"/>
    <w:rsid w:val="00730693"/>
    <w:rsid w:val="00730ECC"/>
    <w:rsid w:val="00731006"/>
    <w:rsid w:val="007310B3"/>
    <w:rsid w:val="00731171"/>
    <w:rsid w:val="007318B3"/>
    <w:rsid w:val="00731C61"/>
    <w:rsid w:val="007321FC"/>
    <w:rsid w:val="00732274"/>
    <w:rsid w:val="007322B3"/>
    <w:rsid w:val="0073245D"/>
    <w:rsid w:val="00732BF2"/>
    <w:rsid w:val="0073305E"/>
    <w:rsid w:val="00733270"/>
    <w:rsid w:val="0073338C"/>
    <w:rsid w:val="007338E6"/>
    <w:rsid w:val="00733A38"/>
    <w:rsid w:val="00733A39"/>
    <w:rsid w:val="00734199"/>
    <w:rsid w:val="00734228"/>
    <w:rsid w:val="00734295"/>
    <w:rsid w:val="007345B2"/>
    <w:rsid w:val="00734625"/>
    <w:rsid w:val="00734771"/>
    <w:rsid w:val="007347F4"/>
    <w:rsid w:val="007353EE"/>
    <w:rsid w:val="00735590"/>
    <w:rsid w:val="0073594C"/>
    <w:rsid w:val="00735D2A"/>
    <w:rsid w:val="00735DB5"/>
    <w:rsid w:val="00735F06"/>
    <w:rsid w:val="007360DA"/>
    <w:rsid w:val="007360FB"/>
    <w:rsid w:val="00736571"/>
    <w:rsid w:val="00736E48"/>
    <w:rsid w:val="00737448"/>
    <w:rsid w:val="00740423"/>
    <w:rsid w:val="0074056E"/>
    <w:rsid w:val="007411E9"/>
    <w:rsid w:val="00741205"/>
    <w:rsid w:val="007412D6"/>
    <w:rsid w:val="00741309"/>
    <w:rsid w:val="00741437"/>
    <w:rsid w:val="00741609"/>
    <w:rsid w:val="00741A89"/>
    <w:rsid w:val="00741C4D"/>
    <w:rsid w:val="0074223E"/>
    <w:rsid w:val="00742530"/>
    <w:rsid w:val="00742B4C"/>
    <w:rsid w:val="00743631"/>
    <w:rsid w:val="00743BFF"/>
    <w:rsid w:val="00743F67"/>
    <w:rsid w:val="00744442"/>
    <w:rsid w:val="00744693"/>
    <w:rsid w:val="007446E0"/>
    <w:rsid w:val="00744B79"/>
    <w:rsid w:val="00744E1F"/>
    <w:rsid w:val="00744ECE"/>
    <w:rsid w:val="00745498"/>
    <w:rsid w:val="007454AF"/>
    <w:rsid w:val="007457F4"/>
    <w:rsid w:val="00745928"/>
    <w:rsid w:val="00745A03"/>
    <w:rsid w:val="00745A5D"/>
    <w:rsid w:val="007469A2"/>
    <w:rsid w:val="007474E9"/>
    <w:rsid w:val="00750380"/>
    <w:rsid w:val="00750580"/>
    <w:rsid w:val="00750582"/>
    <w:rsid w:val="007506E5"/>
    <w:rsid w:val="00750A80"/>
    <w:rsid w:val="00751016"/>
    <w:rsid w:val="00751A7A"/>
    <w:rsid w:val="00751B64"/>
    <w:rsid w:val="007523F9"/>
    <w:rsid w:val="00752861"/>
    <w:rsid w:val="00752F4D"/>
    <w:rsid w:val="00753858"/>
    <w:rsid w:val="007538A8"/>
    <w:rsid w:val="007538B4"/>
    <w:rsid w:val="00753BAC"/>
    <w:rsid w:val="00753EAE"/>
    <w:rsid w:val="007544DB"/>
    <w:rsid w:val="007545A7"/>
    <w:rsid w:val="00754786"/>
    <w:rsid w:val="0075497D"/>
    <w:rsid w:val="00754B7D"/>
    <w:rsid w:val="00755096"/>
    <w:rsid w:val="0075532F"/>
    <w:rsid w:val="00755885"/>
    <w:rsid w:val="007558DD"/>
    <w:rsid w:val="00755E08"/>
    <w:rsid w:val="00756611"/>
    <w:rsid w:val="00756D48"/>
    <w:rsid w:val="00756D60"/>
    <w:rsid w:val="007574AA"/>
    <w:rsid w:val="00760420"/>
    <w:rsid w:val="0076088A"/>
    <w:rsid w:val="00760C18"/>
    <w:rsid w:val="007612EB"/>
    <w:rsid w:val="00761443"/>
    <w:rsid w:val="00761481"/>
    <w:rsid w:val="007615E3"/>
    <w:rsid w:val="00761B77"/>
    <w:rsid w:val="00761DA2"/>
    <w:rsid w:val="00762511"/>
    <w:rsid w:val="0076299E"/>
    <w:rsid w:val="00762B08"/>
    <w:rsid w:val="00762B0A"/>
    <w:rsid w:val="00762C21"/>
    <w:rsid w:val="00762DF3"/>
    <w:rsid w:val="00762E89"/>
    <w:rsid w:val="00763186"/>
    <w:rsid w:val="0076331E"/>
    <w:rsid w:val="00763A76"/>
    <w:rsid w:val="00763CB4"/>
    <w:rsid w:val="0076441C"/>
    <w:rsid w:val="007644E9"/>
    <w:rsid w:val="0076464D"/>
    <w:rsid w:val="007647B4"/>
    <w:rsid w:val="007648B0"/>
    <w:rsid w:val="00764BCF"/>
    <w:rsid w:val="007652CF"/>
    <w:rsid w:val="0076538A"/>
    <w:rsid w:val="0076557F"/>
    <w:rsid w:val="00765778"/>
    <w:rsid w:val="007659CE"/>
    <w:rsid w:val="00765A67"/>
    <w:rsid w:val="007669B7"/>
    <w:rsid w:val="00766AC4"/>
    <w:rsid w:val="00766F34"/>
    <w:rsid w:val="00767569"/>
    <w:rsid w:val="0076778D"/>
    <w:rsid w:val="00767828"/>
    <w:rsid w:val="007678CC"/>
    <w:rsid w:val="0076790A"/>
    <w:rsid w:val="00767AB4"/>
    <w:rsid w:val="00767BC6"/>
    <w:rsid w:val="00767D0F"/>
    <w:rsid w:val="00767EE3"/>
    <w:rsid w:val="007705D6"/>
    <w:rsid w:val="007708E9"/>
    <w:rsid w:val="00770D21"/>
    <w:rsid w:val="00771421"/>
    <w:rsid w:val="007714CC"/>
    <w:rsid w:val="00771571"/>
    <w:rsid w:val="00771F6F"/>
    <w:rsid w:val="00772583"/>
    <w:rsid w:val="007727C9"/>
    <w:rsid w:val="0077303B"/>
    <w:rsid w:val="0077307E"/>
    <w:rsid w:val="00773A25"/>
    <w:rsid w:val="00773D65"/>
    <w:rsid w:val="007748B7"/>
    <w:rsid w:val="007748C9"/>
    <w:rsid w:val="00774AAD"/>
    <w:rsid w:val="00774B41"/>
    <w:rsid w:val="00775159"/>
    <w:rsid w:val="0077537F"/>
    <w:rsid w:val="00775AAC"/>
    <w:rsid w:val="00775AE3"/>
    <w:rsid w:val="00775AF7"/>
    <w:rsid w:val="00775E86"/>
    <w:rsid w:val="00776014"/>
    <w:rsid w:val="00776F03"/>
    <w:rsid w:val="007771FD"/>
    <w:rsid w:val="00777304"/>
    <w:rsid w:val="007773F2"/>
    <w:rsid w:val="00777509"/>
    <w:rsid w:val="007776BA"/>
    <w:rsid w:val="00777BDF"/>
    <w:rsid w:val="007804F6"/>
    <w:rsid w:val="00780E69"/>
    <w:rsid w:val="00780E81"/>
    <w:rsid w:val="00781201"/>
    <w:rsid w:val="007816C6"/>
    <w:rsid w:val="00781CD2"/>
    <w:rsid w:val="00782039"/>
    <w:rsid w:val="00782102"/>
    <w:rsid w:val="00782D20"/>
    <w:rsid w:val="00782ED0"/>
    <w:rsid w:val="00782F26"/>
    <w:rsid w:val="00782F6D"/>
    <w:rsid w:val="007830B8"/>
    <w:rsid w:val="0078326C"/>
    <w:rsid w:val="0078349A"/>
    <w:rsid w:val="00783A55"/>
    <w:rsid w:val="00784878"/>
    <w:rsid w:val="00784C1B"/>
    <w:rsid w:val="00785289"/>
    <w:rsid w:val="0078529F"/>
    <w:rsid w:val="007856BC"/>
    <w:rsid w:val="00785AC5"/>
    <w:rsid w:val="00785B96"/>
    <w:rsid w:val="00785E1D"/>
    <w:rsid w:val="00785ED5"/>
    <w:rsid w:val="00785FEB"/>
    <w:rsid w:val="00786301"/>
    <w:rsid w:val="00786324"/>
    <w:rsid w:val="007866F1"/>
    <w:rsid w:val="00786805"/>
    <w:rsid w:val="007869BE"/>
    <w:rsid w:val="007870F4"/>
    <w:rsid w:val="007871DE"/>
    <w:rsid w:val="0078720C"/>
    <w:rsid w:val="007874B4"/>
    <w:rsid w:val="007874FE"/>
    <w:rsid w:val="0078755F"/>
    <w:rsid w:val="007876BF"/>
    <w:rsid w:val="00787B2F"/>
    <w:rsid w:val="00787C2B"/>
    <w:rsid w:val="00787D5B"/>
    <w:rsid w:val="00790070"/>
    <w:rsid w:val="0079008F"/>
    <w:rsid w:val="007902DE"/>
    <w:rsid w:val="007902E4"/>
    <w:rsid w:val="00790508"/>
    <w:rsid w:val="00790980"/>
    <w:rsid w:val="007913F3"/>
    <w:rsid w:val="00791575"/>
    <w:rsid w:val="00791A32"/>
    <w:rsid w:val="007927DD"/>
    <w:rsid w:val="00792ADC"/>
    <w:rsid w:val="00792BE2"/>
    <w:rsid w:val="00792C9D"/>
    <w:rsid w:val="00792E11"/>
    <w:rsid w:val="00793073"/>
    <w:rsid w:val="00793332"/>
    <w:rsid w:val="007946FB"/>
    <w:rsid w:val="00794B45"/>
    <w:rsid w:val="00794C36"/>
    <w:rsid w:val="0079584E"/>
    <w:rsid w:val="00795AAE"/>
    <w:rsid w:val="00795F8F"/>
    <w:rsid w:val="00796977"/>
    <w:rsid w:val="007969F9"/>
    <w:rsid w:val="00796D0E"/>
    <w:rsid w:val="00796F8A"/>
    <w:rsid w:val="007970CC"/>
    <w:rsid w:val="007970FF"/>
    <w:rsid w:val="0079753D"/>
    <w:rsid w:val="00797626"/>
    <w:rsid w:val="0079766F"/>
    <w:rsid w:val="00797700"/>
    <w:rsid w:val="00797A48"/>
    <w:rsid w:val="00797F03"/>
    <w:rsid w:val="007A0078"/>
    <w:rsid w:val="007A05D8"/>
    <w:rsid w:val="007A1020"/>
    <w:rsid w:val="007A138C"/>
    <w:rsid w:val="007A1898"/>
    <w:rsid w:val="007A1BF9"/>
    <w:rsid w:val="007A1D62"/>
    <w:rsid w:val="007A1F3C"/>
    <w:rsid w:val="007A2653"/>
    <w:rsid w:val="007A269C"/>
    <w:rsid w:val="007A2764"/>
    <w:rsid w:val="007A27C8"/>
    <w:rsid w:val="007A28A8"/>
    <w:rsid w:val="007A2914"/>
    <w:rsid w:val="007A2DA2"/>
    <w:rsid w:val="007A2F4E"/>
    <w:rsid w:val="007A2F6C"/>
    <w:rsid w:val="007A34EC"/>
    <w:rsid w:val="007A3581"/>
    <w:rsid w:val="007A3639"/>
    <w:rsid w:val="007A36E4"/>
    <w:rsid w:val="007A3938"/>
    <w:rsid w:val="007A3BCC"/>
    <w:rsid w:val="007A3E2C"/>
    <w:rsid w:val="007A3F0C"/>
    <w:rsid w:val="007A4293"/>
    <w:rsid w:val="007A434D"/>
    <w:rsid w:val="007A45CA"/>
    <w:rsid w:val="007A486A"/>
    <w:rsid w:val="007A4DD4"/>
    <w:rsid w:val="007A591A"/>
    <w:rsid w:val="007A5FE5"/>
    <w:rsid w:val="007A6903"/>
    <w:rsid w:val="007A6918"/>
    <w:rsid w:val="007A6B1A"/>
    <w:rsid w:val="007A6D04"/>
    <w:rsid w:val="007A6FB6"/>
    <w:rsid w:val="007A7137"/>
    <w:rsid w:val="007A7287"/>
    <w:rsid w:val="007A79C1"/>
    <w:rsid w:val="007A7DA7"/>
    <w:rsid w:val="007A7ED8"/>
    <w:rsid w:val="007A7EEC"/>
    <w:rsid w:val="007A7F3B"/>
    <w:rsid w:val="007B00FC"/>
    <w:rsid w:val="007B01F1"/>
    <w:rsid w:val="007B02C8"/>
    <w:rsid w:val="007B02EE"/>
    <w:rsid w:val="007B0344"/>
    <w:rsid w:val="007B0892"/>
    <w:rsid w:val="007B0A12"/>
    <w:rsid w:val="007B0B3B"/>
    <w:rsid w:val="007B0C73"/>
    <w:rsid w:val="007B0D1F"/>
    <w:rsid w:val="007B0F51"/>
    <w:rsid w:val="007B11B2"/>
    <w:rsid w:val="007B11EB"/>
    <w:rsid w:val="007B1885"/>
    <w:rsid w:val="007B1BF0"/>
    <w:rsid w:val="007B22E9"/>
    <w:rsid w:val="007B2585"/>
    <w:rsid w:val="007B2773"/>
    <w:rsid w:val="007B2A00"/>
    <w:rsid w:val="007B2B28"/>
    <w:rsid w:val="007B3397"/>
    <w:rsid w:val="007B3847"/>
    <w:rsid w:val="007B3AC3"/>
    <w:rsid w:val="007B3D6E"/>
    <w:rsid w:val="007B3E67"/>
    <w:rsid w:val="007B4437"/>
    <w:rsid w:val="007B4521"/>
    <w:rsid w:val="007B4E33"/>
    <w:rsid w:val="007B50EF"/>
    <w:rsid w:val="007B511A"/>
    <w:rsid w:val="007B5318"/>
    <w:rsid w:val="007B536C"/>
    <w:rsid w:val="007B53F9"/>
    <w:rsid w:val="007B5A0D"/>
    <w:rsid w:val="007B603B"/>
    <w:rsid w:val="007B60EA"/>
    <w:rsid w:val="007B6256"/>
    <w:rsid w:val="007B62B4"/>
    <w:rsid w:val="007B6563"/>
    <w:rsid w:val="007B6743"/>
    <w:rsid w:val="007B6C19"/>
    <w:rsid w:val="007B74A0"/>
    <w:rsid w:val="007B7858"/>
    <w:rsid w:val="007C0352"/>
    <w:rsid w:val="007C05B9"/>
    <w:rsid w:val="007C0AD5"/>
    <w:rsid w:val="007C0B3F"/>
    <w:rsid w:val="007C0B42"/>
    <w:rsid w:val="007C0C2E"/>
    <w:rsid w:val="007C117B"/>
    <w:rsid w:val="007C14C0"/>
    <w:rsid w:val="007C165E"/>
    <w:rsid w:val="007C1796"/>
    <w:rsid w:val="007C1E00"/>
    <w:rsid w:val="007C1FB0"/>
    <w:rsid w:val="007C2268"/>
    <w:rsid w:val="007C28AA"/>
    <w:rsid w:val="007C2AC6"/>
    <w:rsid w:val="007C3316"/>
    <w:rsid w:val="007C35A1"/>
    <w:rsid w:val="007C3C00"/>
    <w:rsid w:val="007C3C35"/>
    <w:rsid w:val="007C3D77"/>
    <w:rsid w:val="007C40DE"/>
    <w:rsid w:val="007C4C37"/>
    <w:rsid w:val="007C4D08"/>
    <w:rsid w:val="007C4E32"/>
    <w:rsid w:val="007C55CD"/>
    <w:rsid w:val="007C5620"/>
    <w:rsid w:val="007C58FA"/>
    <w:rsid w:val="007C5997"/>
    <w:rsid w:val="007C5E74"/>
    <w:rsid w:val="007C5F88"/>
    <w:rsid w:val="007C60DC"/>
    <w:rsid w:val="007C6940"/>
    <w:rsid w:val="007C6B94"/>
    <w:rsid w:val="007C7001"/>
    <w:rsid w:val="007C7320"/>
    <w:rsid w:val="007C7440"/>
    <w:rsid w:val="007C7444"/>
    <w:rsid w:val="007D0273"/>
    <w:rsid w:val="007D11AF"/>
    <w:rsid w:val="007D147D"/>
    <w:rsid w:val="007D20BD"/>
    <w:rsid w:val="007D2348"/>
    <w:rsid w:val="007D23A8"/>
    <w:rsid w:val="007D2A75"/>
    <w:rsid w:val="007D2B45"/>
    <w:rsid w:val="007D2B53"/>
    <w:rsid w:val="007D3237"/>
    <w:rsid w:val="007D35AC"/>
    <w:rsid w:val="007D36D1"/>
    <w:rsid w:val="007D388C"/>
    <w:rsid w:val="007D40B3"/>
    <w:rsid w:val="007D4305"/>
    <w:rsid w:val="007D47E0"/>
    <w:rsid w:val="007D4D48"/>
    <w:rsid w:val="007D4D81"/>
    <w:rsid w:val="007D5120"/>
    <w:rsid w:val="007D590C"/>
    <w:rsid w:val="007D5A6D"/>
    <w:rsid w:val="007D5F46"/>
    <w:rsid w:val="007D6216"/>
    <w:rsid w:val="007D6899"/>
    <w:rsid w:val="007D6B5F"/>
    <w:rsid w:val="007D75B7"/>
    <w:rsid w:val="007D7AEA"/>
    <w:rsid w:val="007D7C0F"/>
    <w:rsid w:val="007E00FD"/>
    <w:rsid w:val="007E018E"/>
    <w:rsid w:val="007E01E0"/>
    <w:rsid w:val="007E04DE"/>
    <w:rsid w:val="007E08D0"/>
    <w:rsid w:val="007E0AA0"/>
    <w:rsid w:val="007E0B53"/>
    <w:rsid w:val="007E1086"/>
    <w:rsid w:val="007E10D3"/>
    <w:rsid w:val="007E1571"/>
    <w:rsid w:val="007E17C9"/>
    <w:rsid w:val="007E17E2"/>
    <w:rsid w:val="007E1845"/>
    <w:rsid w:val="007E1B5C"/>
    <w:rsid w:val="007E1E50"/>
    <w:rsid w:val="007E2601"/>
    <w:rsid w:val="007E2B03"/>
    <w:rsid w:val="007E4268"/>
    <w:rsid w:val="007E50ED"/>
    <w:rsid w:val="007E53F5"/>
    <w:rsid w:val="007E5758"/>
    <w:rsid w:val="007E621D"/>
    <w:rsid w:val="007E6A72"/>
    <w:rsid w:val="007E6DC0"/>
    <w:rsid w:val="007E701E"/>
    <w:rsid w:val="007E7481"/>
    <w:rsid w:val="007F0194"/>
    <w:rsid w:val="007F05F2"/>
    <w:rsid w:val="007F066A"/>
    <w:rsid w:val="007F083D"/>
    <w:rsid w:val="007F0E00"/>
    <w:rsid w:val="007F1477"/>
    <w:rsid w:val="007F1966"/>
    <w:rsid w:val="007F198A"/>
    <w:rsid w:val="007F19D0"/>
    <w:rsid w:val="007F1A8F"/>
    <w:rsid w:val="007F1E07"/>
    <w:rsid w:val="007F1E1A"/>
    <w:rsid w:val="007F1E47"/>
    <w:rsid w:val="007F2592"/>
    <w:rsid w:val="007F2CB0"/>
    <w:rsid w:val="007F30A9"/>
    <w:rsid w:val="007F3532"/>
    <w:rsid w:val="007F37F1"/>
    <w:rsid w:val="007F3D41"/>
    <w:rsid w:val="007F3EC3"/>
    <w:rsid w:val="007F3EE9"/>
    <w:rsid w:val="007F4049"/>
    <w:rsid w:val="007F43BF"/>
    <w:rsid w:val="007F4CE1"/>
    <w:rsid w:val="007F4EEE"/>
    <w:rsid w:val="007F5451"/>
    <w:rsid w:val="007F633E"/>
    <w:rsid w:val="007F6619"/>
    <w:rsid w:val="007F6F4B"/>
    <w:rsid w:val="007F7646"/>
    <w:rsid w:val="007F7849"/>
    <w:rsid w:val="007F7956"/>
    <w:rsid w:val="007F7AA9"/>
    <w:rsid w:val="008004D0"/>
    <w:rsid w:val="008013D4"/>
    <w:rsid w:val="00801776"/>
    <w:rsid w:val="008017FE"/>
    <w:rsid w:val="00801E23"/>
    <w:rsid w:val="00802097"/>
    <w:rsid w:val="00802098"/>
    <w:rsid w:val="008025D8"/>
    <w:rsid w:val="0080268F"/>
    <w:rsid w:val="00802B5D"/>
    <w:rsid w:val="00802F1F"/>
    <w:rsid w:val="0080301E"/>
    <w:rsid w:val="0080306D"/>
    <w:rsid w:val="00803333"/>
    <w:rsid w:val="008033D8"/>
    <w:rsid w:val="00803663"/>
    <w:rsid w:val="00803AB0"/>
    <w:rsid w:val="00804B8F"/>
    <w:rsid w:val="00804DA2"/>
    <w:rsid w:val="00804F9E"/>
    <w:rsid w:val="00804FFC"/>
    <w:rsid w:val="008056AC"/>
    <w:rsid w:val="00805864"/>
    <w:rsid w:val="008058D0"/>
    <w:rsid w:val="00805B20"/>
    <w:rsid w:val="00805E94"/>
    <w:rsid w:val="00806029"/>
    <w:rsid w:val="00806393"/>
    <w:rsid w:val="00806580"/>
    <w:rsid w:val="008066F4"/>
    <w:rsid w:val="00806A80"/>
    <w:rsid w:val="008074DD"/>
    <w:rsid w:val="00807565"/>
    <w:rsid w:val="00807A24"/>
    <w:rsid w:val="00807F0C"/>
    <w:rsid w:val="00810423"/>
    <w:rsid w:val="00810747"/>
    <w:rsid w:val="008109A5"/>
    <w:rsid w:val="00810A3E"/>
    <w:rsid w:val="00810A85"/>
    <w:rsid w:val="00810FAF"/>
    <w:rsid w:val="00811320"/>
    <w:rsid w:val="00811970"/>
    <w:rsid w:val="00811FF0"/>
    <w:rsid w:val="008120F5"/>
    <w:rsid w:val="00812160"/>
    <w:rsid w:val="00812FB8"/>
    <w:rsid w:val="0081314E"/>
    <w:rsid w:val="008135D0"/>
    <w:rsid w:val="00813C94"/>
    <w:rsid w:val="0081419C"/>
    <w:rsid w:val="00814252"/>
    <w:rsid w:val="008142E7"/>
    <w:rsid w:val="00814655"/>
    <w:rsid w:val="00814725"/>
    <w:rsid w:val="00814752"/>
    <w:rsid w:val="008147CC"/>
    <w:rsid w:val="008149CE"/>
    <w:rsid w:val="00814F7A"/>
    <w:rsid w:val="0081501B"/>
    <w:rsid w:val="008150E5"/>
    <w:rsid w:val="008153E4"/>
    <w:rsid w:val="0081565D"/>
    <w:rsid w:val="00815DFE"/>
    <w:rsid w:val="00815F21"/>
    <w:rsid w:val="008161D7"/>
    <w:rsid w:val="0081690D"/>
    <w:rsid w:val="00816A53"/>
    <w:rsid w:val="00816A99"/>
    <w:rsid w:val="008172B0"/>
    <w:rsid w:val="0081733F"/>
    <w:rsid w:val="00817471"/>
    <w:rsid w:val="008179B7"/>
    <w:rsid w:val="008179C5"/>
    <w:rsid w:val="00817C3E"/>
    <w:rsid w:val="00817FF6"/>
    <w:rsid w:val="008208F0"/>
    <w:rsid w:val="00821A5A"/>
    <w:rsid w:val="008226B3"/>
    <w:rsid w:val="008227EE"/>
    <w:rsid w:val="00822835"/>
    <w:rsid w:val="00822AFE"/>
    <w:rsid w:val="00822C41"/>
    <w:rsid w:val="00823141"/>
    <w:rsid w:val="00823257"/>
    <w:rsid w:val="00823293"/>
    <w:rsid w:val="008236F9"/>
    <w:rsid w:val="008238E9"/>
    <w:rsid w:val="0082397D"/>
    <w:rsid w:val="00823ABA"/>
    <w:rsid w:val="00823C33"/>
    <w:rsid w:val="00824BB0"/>
    <w:rsid w:val="00824E50"/>
    <w:rsid w:val="00825D3F"/>
    <w:rsid w:val="008262FD"/>
    <w:rsid w:val="0082658F"/>
    <w:rsid w:val="008269E2"/>
    <w:rsid w:val="0082786F"/>
    <w:rsid w:val="008279DF"/>
    <w:rsid w:val="00827EBE"/>
    <w:rsid w:val="008300A9"/>
    <w:rsid w:val="008301AC"/>
    <w:rsid w:val="008302D1"/>
    <w:rsid w:val="008307C9"/>
    <w:rsid w:val="00830E8C"/>
    <w:rsid w:val="00830FA1"/>
    <w:rsid w:val="00830FCF"/>
    <w:rsid w:val="00831D38"/>
    <w:rsid w:val="008322B7"/>
    <w:rsid w:val="008322F1"/>
    <w:rsid w:val="0083270A"/>
    <w:rsid w:val="008327B6"/>
    <w:rsid w:val="00832BBA"/>
    <w:rsid w:val="00832D20"/>
    <w:rsid w:val="008331D5"/>
    <w:rsid w:val="008332FE"/>
    <w:rsid w:val="00833315"/>
    <w:rsid w:val="008336FD"/>
    <w:rsid w:val="008339B4"/>
    <w:rsid w:val="00833E15"/>
    <w:rsid w:val="00833F0F"/>
    <w:rsid w:val="0083409F"/>
    <w:rsid w:val="00834185"/>
    <w:rsid w:val="008342DE"/>
    <w:rsid w:val="00834418"/>
    <w:rsid w:val="008353F8"/>
    <w:rsid w:val="008356F4"/>
    <w:rsid w:val="008358C6"/>
    <w:rsid w:val="00835A67"/>
    <w:rsid w:val="00835E31"/>
    <w:rsid w:val="0083607C"/>
    <w:rsid w:val="008360F2"/>
    <w:rsid w:val="00836137"/>
    <w:rsid w:val="00836435"/>
    <w:rsid w:val="0083651F"/>
    <w:rsid w:val="008366A2"/>
    <w:rsid w:val="00836DD0"/>
    <w:rsid w:val="0083723E"/>
    <w:rsid w:val="00837C4A"/>
    <w:rsid w:val="00837CA3"/>
    <w:rsid w:val="00837CC7"/>
    <w:rsid w:val="00840143"/>
    <w:rsid w:val="008407CE"/>
    <w:rsid w:val="0084090A"/>
    <w:rsid w:val="008409EF"/>
    <w:rsid w:val="00840F6C"/>
    <w:rsid w:val="00840FE1"/>
    <w:rsid w:val="008411B6"/>
    <w:rsid w:val="008411D0"/>
    <w:rsid w:val="00841257"/>
    <w:rsid w:val="008416A8"/>
    <w:rsid w:val="00841A30"/>
    <w:rsid w:val="00841C29"/>
    <w:rsid w:val="00841D69"/>
    <w:rsid w:val="00842180"/>
    <w:rsid w:val="0084252A"/>
    <w:rsid w:val="0084285D"/>
    <w:rsid w:val="008428AA"/>
    <w:rsid w:val="00842B4D"/>
    <w:rsid w:val="00843551"/>
    <w:rsid w:val="008438BA"/>
    <w:rsid w:val="008441A6"/>
    <w:rsid w:val="00844466"/>
    <w:rsid w:val="00844A19"/>
    <w:rsid w:val="00844B27"/>
    <w:rsid w:val="00845DF0"/>
    <w:rsid w:val="00845EEF"/>
    <w:rsid w:val="0084626E"/>
    <w:rsid w:val="008464F5"/>
    <w:rsid w:val="008465A9"/>
    <w:rsid w:val="008469B7"/>
    <w:rsid w:val="00846A82"/>
    <w:rsid w:val="00846C9D"/>
    <w:rsid w:val="00846E09"/>
    <w:rsid w:val="0084755C"/>
    <w:rsid w:val="0084758C"/>
    <w:rsid w:val="0084760F"/>
    <w:rsid w:val="0084774D"/>
    <w:rsid w:val="00847FB5"/>
    <w:rsid w:val="008508B2"/>
    <w:rsid w:val="00850A21"/>
    <w:rsid w:val="00850B48"/>
    <w:rsid w:val="00850BC9"/>
    <w:rsid w:val="00850E13"/>
    <w:rsid w:val="00850F30"/>
    <w:rsid w:val="00850FC5"/>
    <w:rsid w:val="008515AE"/>
    <w:rsid w:val="0085165C"/>
    <w:rsid w:val="008519D1"/>
    <w:rsid w:val="00851AEA"/>
    <w:rsid w:val="00851C66"/>
    <w:rsid w:val="00851CCB"/>
    <w:rsid w:val="00851CED"/>
    <w:rsid w:val="00851F06"/>
    <w:rsid w:val="0085208C"/>
    <w:rsid w:val="0085226E"/>
    <w:rsid w:val="00852295"/>
    <w:rsid w:val="008522BE"/>
    <w:rsid w:val="00852361"/>
    <w:rsid w:val="008525EC"/>
    <w:rsid w:val="00852738"/>
    <w:rsid w:val="00852A81"/>
    <w:rsid w:val="00853177"/>
    <w:rsid w:val="00853375"/>
    <w:rsid w:val="008533E9"/>
    <w:rsid w:val="00853CB5"/>
    <w:rsid w:val="00853D39"/>
    <w:rsid w:val="0085404A"/>
    <w:rsid w:val="008540AC"/>
    <w:rsid w:val="00854158"/>
    <w:rsid w:val="00854AEA"/>
    <w:rsid w:val="00854B89"/>
    <w:rsid w:val="00854C0B"/>
    <w:rsid w:val="008551AF"/>
    <w:rsid w:val="00855579"/>
    <w:rsid w:val="00855B6F"/>
    <w:rsid w:val="0085612C"/>
    <w:rsid w:val="0085616F"/>
    <w:rsid w:val="0085634B"/>
    <w:rsid w:val="0085638A"/>
    <w:rsid w:val="008563C3"/>
    <w:rsid w:val="00856999"/>
    <w:rsid w:val="00856AE1"/>
    <w:rsid w:val="00857108"/>
    <w:rsid w:val="008574C9"/>
    <w:rsid w:val="008576A8"/>
    <w:rsid w:val="0086007C"/>
    <w:rsid w:val="00860353"/>
    <w:rsid w:val="00861161"/>
    <w:rsid w:val="00861440"/>
    <w:rsid w:val="008619AF"/>
    <w:rsid w:val="00861D67"/>
    <w:rsid w:val="00862053"/>
    <w:rsid w:val="008620C8"/>
    <w:rsid w:val="008626F0"/>
    <w:rsid w:val="00862941"/>
    <w:rsid w:val="00862CB7"/>
    <w:rsid w:val="00863260"/>
    <w:rsid w:val="008632F2"/>
    <w:rsid w:val="008639B6"/>
    <w:rsid w:val="00863C35"/>
    <w:rsid w:val="00863F3D"/>
    <w:rsid w:val="00863F67"/>
    <w:rsid w:val="0086418D"/>
    <w:rsid w:val="008641C4"/>
    <w:rsid w:val="008649B9"/>
    <w:rsid w:val="00864BDF"/>
    <w:rsid w:val="00865073"/>
    <w:rsid w:val="008653C8"/>
    <w:rsid w:val="008655DB"/>
    <w:rsid w:val="0086562E"/>
    <w:rsid w:val="00865AC5"/>
    <w:rsid w:val="00865ACB"/>
    <w:rsid w:val="00865EBB"/>
    <w:rsid w:val="00866017"/>
    <w:rsid w:val="008660BE"/>
    <w:rsid w:val="00866642"/>
    <w:rsid w:val="0086692E"/>
    <w:rsid w:val="00866D25"/>
    <w:rsid w:val="0086721F"/>
    <w:rsid w:val="00867A11"/>
    <w:rsid w:val="00867F38"/>
    <w:rsid w:val="008700AA"/>
    <w:rsid w:val="0087045A"/>
    <w:rsid w:val="00870891"/>
    <w:rsid w:val="0087106C"/>
    <w:rsid w:val="00871236"/>
    <w:rsid w:val="008714C3"/>
    <w:rsid w:val="00871A67"/>
    <w:rsid w:val="00871FEC"/>
    <w:rsid w:val="0087205C"/>
    <w:rsid w:val="00872068"/>
    <w:rsid w:val="00872447"/>
    <w:rsid w:val="008725D1"/>
    <w:rsid w:val="008725F2"/>
    <w:rsid w:val="0087263D"/>
    <w:rsid w:val="00872711"/>
    <w:rsid w:val="008727C1"/>
    <w:rsid w:val="008734EB"/>
    <w:rsid w:val="00873E14"/>
    <w:rsid w:val="00873FDA"/>
    <w:rsid w:val="00873FEE"/>
    <w:rsid w:val="00874844"/>
    <w:rsid w:val="00874DEA"/>
    <w:rsid w:val="0087524E"/>
    <w:rsid w:val="008752BF"/>
    <w:rsid w:val="00875C2E"/>
    <w:rsid w:val="00875E63"/>
    <w:rsid w:val="0087628C"/>
    <w:rsid w:val="0087642F"/>
    <w:rsid w:val="00876F08"/>
    <w:rsid w:val="00877099"/>
    <w:rsid w:val="00877452"/>
    <w:rsid w:val="008801F3"/>
    <w:rsid w:val="00880614"/>
    <w:rsid w:val="00880B28"/>
    <w:rsid w:val="008815EE"/>
    <w:rsid w:val="00881659"/>
    <w:rsid w:val="00881B88"/>
    <w:rsid w:val="00881F4A"/>
    <w:rsid w:val="008829A5"/>
    <w:rsid w:val="00882AD4"/>
    <w:rsid w:val="00882D04"/>
    <w:rsid w:val="0088326B"/>
    <w:rsid w:val="00883816"/>
    <w:rsid w:val="00883B18"/>
    <w:rsid w:val="00883B8F"/>
    <w:rsid w:val="00883E1A"/>
    <w:rsid w:val="00883F4C"/>
    <w:rsid w:val="0088420A"/>
    <w:rsid w:val="008845E0"/>
    <w:rsid w:val="00884625"/>
    <w:rsid w:val="00884920"/>
    <w:rsid w:val="00884A2E"/>
    <w:rsid w:val="00884B8D"/>
    <w:rsid w:val="00884CDD"/>
    <w:rsid w:val="00884D6F"/>
    <w:rsid w:val="00884DE9"/>
    <w:rsid w:val="0088523D"/>
    <w:rsid w:val="008855DA"/>
    <w:rsid w:val="00885B8E"/>
    <w:rsid w:val="00886CCF"/>
    <w:rsid w:val="00886CE8"/>
    <w:rsid w:val="00887EA7"/>
    <w:rsid w:val="00887EC3"/>
    <w:rsid w:val="00890045"/>
    <w:rsid w:val="00890F0C"/>
    <w:rsid w:val="00891272"/>
    <w:rsid w:val="008912EE"/>
    <w:rsid w:val="00891492"/>
    <w:rsid w:val="008917E2"/>
    <w:rsid w:val="00891ACA"/>
    <w:rsid w:val="00892420"/>
    <w:rsid w:val="008928C3"/>
    <w:rsid w:val="00892E26"/>
    <w:rsid w:val="00892EA7"/>
    <w:rsid w:val="008935DA"/>
    <w:rsid w:val="0089399B"/>
    <w:rsid w:val="008939DB"/>
    <w:rsid w:val="00893C16"/>
    <w:rsid w:val="0089417C"/>
    <w:rsid w:val="008944B1"/>
    <w:rsid w:val="00894599"/>
    <w:rsid w:val="00894856"/>
    <w:rsid w:val="00894BA1"/>
    <w:rsid w:val="00894F8F"/>
    <w:rsid w:val="0089508B"/>
    <w:rsid w:val="00895732"/>
    <w:rsid w:val="00895884"/>
    <w:rsid w:val="00895AA9"/>
    <w:rsid w:val="00896263"/>
    <w:rsid w:val="008972B8"/>
    <w:rsid w:val="00897632"/>
    <w:rsid w:val="00897883"/>
    <w:rsid w:val="00897E6A"/>
    <w:rsid w:val="00897F96"/>
    <w:rsid w:val="008A003C"/>
    <w:rsid w:val="008A02F5"/>
    <w:rsid w:val="008A049D"/>
    <w:rsid w:val="008A0736"/>
    <w:rsid w:val="008A0D75"/>
    <w:rsid w:val="008A1616"/>
    <w:rsid w:val="008A1661"/>
    <w:rsid w:val="008A222A"/>
    <w:rsid w:val="008A2630"/>
    <w:rsid w:val="008A27CC"/>
    <w:rsid w:val="008A28A1"/>
    <w:rsid w:val="008A2BF0"/>
    <w:rsid w:val="008A2C5A"/>
    <w:rsid w:val="008A4291"/>
    <w:rsid w:val="008A44BE"/>
    <w:rsid w:val="008A4708"/>
    <w:rsid w:val="008A4CEF"/>
    <w:rsid w:val="008A5028"/>
    <w:rsid w:val="008A50DC"/>
    <w:rsid w:val="008A53E7"/>
    <w:rsid w:val="008A5792"/>
    <w:rsid w:val="008A5990"/>
    <w:rsid w:val="008A5A29"/>
    <w:rsid w:val="008A5E17"/>
    <w:rsid w:val="008A6207"/>
    <w:rsid w:val="008A62BA"/>
    <w:rsid w:val="008A62DA"/>
    <w:rsid w:val="008A658C"/>
    <w:rsid w:val="008A6A89"/>
    <w:rsid w:val="008A6C0C"/>
    <w:rsid w:val="008A6C72"/>
    <w:rsid w:val="008A6EB6"/>
    <w:rsid w:val="008A6F18"/>
    <w:rsid w:val="008A7066"/>
    <w:rsid w:val="008A73B7"/>
    <w:rsid w:val="008A74D8"/>
    <w:rsid w:val="008A75CC"/>
    <w:rsid w:val="008A7E41"/>
    <w:rsid w:val="008A7FB8"/>
    <w:rsid w:val="008B1486"/>
    <w:rsid w:val="008B14F1"/>
    <w:rsid w:val="008B1E0B"/>
    <w:rsid w:val="008B2C95"/>
    <w:rsid w:val="008B2F32"/>
    <w:rsid w:val="008B30FE"/>
    <w:rsid w:val="008B3188"/>
    <w:rsid w:val="008B39EE"/>
    <w:rsid w:val="008B3BA9"/>
    <w:rsid w:val="008B424C"/>
    <w:rsid w:val="008B449D"/>
    <w:rsid w:val="008B4C49"/>
    <w:rsid w:val="008B4CAF"/>
    <w:rsid w:val="008B4E92"/>
    <w:rsid w:val="008B4EAF"/>
    <w:rsid w:val="008B581D"/>
    <w:rsid w:val="008B5952"/>
    <w:rsid w:val="008B5A81"/>
    <w:rsid w:val="008B5C0C"/>
    <w:rsid w:val="008B66F1"/>
    <w:rsid w:val="008B6A32"/>
    <w:rsid w:val="008B7255"/>
    <w:rsid w:val="008B7263"/>
    <w:rsid w:val="008B7283"/>
    <w:rsid w:val="008C019B"/>
    <w:rsid w:val="008C029A"/>
    <w:rsid w:val="008C0397"/>
    <w:rsid w:val="008C0C3F"/>
    <w:rsid w:val="008C0EC2"/>
    <w:rsid w:val="008C0FDE"/>
    <w:rsid w:val="008C1620"/>
    <w:rsid w:val="008C1761"/>
    <w:rsid w:val="008C196E"/>
    <w:rsid w:val="008C196F"/>
    <w:rsid w:val="008C19E4"/>
    <w:rsid w:val="008C1C3A"/>
    <w:rsid w:val="008C267E"/>
    <w:rsid w:val="008C2914"/>
    <w:rsid w:val="008C2A0B"/>
    <w:rsid w:val="008C2C9B"/>
    <w:rsid w:val="008C2E8E"/>
    <w:rsid w:val="008C3B3C"/>
    <w:rsid w:val="008C4303"/>
    <w:rsid w:val="008C4531"/>
    <w:rsid w:val="008C47BC"/>
    <w:rsid w:val="008C47BE"/>
    <w:rsid w:val="008C4AC1"/>
    <w:rsid w:val="008C4C4E"/>
    <w:rsid w:val="008C54DF"/>
    <w:rsid w:val="008C5C71"/>
    <w:rsid w:val="008C5F0A"/>
    <w:rsid w:val="008C62F9"/>
    <w:rsid w:val="008C6673"/>
    <w:rsid w:val="008C69C1"/>
    <w:rsid w:val="008C6E4D"/>
    <w:rsid w:val="008C7128"/>
    <w:rsid w:val="008C71C1"/>
    <w:rsid w:val="008C79DF"/>
    <w:rsid w:val="008C7F0C"/>
    <w:rsid w:val="008D07F9"/>
    <w:rsid w:val="008D0DB0"/>
    <w:rsid w:val="008D0E17"/>
    <w:rsid w:val="008D1806"/>
    <w:rsid w:val="008D195A"/>
    <w:rsid w:val="008D1E67"/>
    <w:rsid w:val="008D2017"/>
    <w:rsid w:val="008D29E2"/>
    <w:rsid w:val="008D2B26"/>
    <w:rsid w:val="008D2DDC"/>
    <w:rsid w:val="008D32CD"/>
    <w:rsid w:val="008D35AB"/>
    <w:rsid w:val="008D37A1"/>
    <w:rsid w:val="008D37B2"/>
    <w:rsid w:val="008D3A60"/>
    <w:rsid w:val="008D3B0F"/>
    <w:rsid w:val="008D3C8E"/>
    <w:rsid w:val="008D40BC"/>
    <w:rsid w:val="008D4925"/>
    <w:rsid w:val="008D4944"/>
    <w:rsid w:val="008D49A2"/>
    <w:rsid w:val="008D49C3"/>
    <w:rsid w:val="008D4C94"/>
    <w:rsid w:val="008D54F0"/>
    <w:rsid w:val="008D550B"/>
    <w:rsid w:val="008D58CF"/>
    <w:rsid w:val="008D5B78"/>
    <w:rsid w:val="008D5C52"/>
    <w:rsid w:val="008D6521"/>
    <w:rsid w:val="008D67F8"/>
    <w:rsid w:val="008D6950"/>
    <w:rsid w:val="008D69E5"/>
    <w:rsid w:val="008D6A8D"/>
    <w:rsid w:val="008D6B3A"/>
    <w:rsid w:val="008D6D75"/>
    <w:rsid w:val="008D6DDB"/>
    <w:rsid w:val="008D6F37"/>
    <w:rsid w:val="008D701C"/>
    <w:rsid w:val="008D708B"/>
    <w:rsid w:val="008D71A2"/>
    <w:rsid w:val="008D723F"/>
    <w:rsid w:val="008D757B"/>
    <w:rsid w:val="008D75C4"/>
    <w:rsid w:val="008D763D"/>
    <w:rsid w:val="008D7682"/>
    <w:rsid w:val="008D77DE"/>
    <w:rsid w:val="008D7C74"/>
    <w:rsid w:val="008D7D28"/>
    <w:rsid w:val="008E023D"/>
    <w:rsid w:val="008E0394"/>
    <w:rsid w:val="008E04A1"/>
    <w:rsid w:val="008E0B81"/>
    <w:rsid w:val="008E0E23"/>
    <w:rsid w:val="008E1905"/>
    <w:rsid w:val="008E1AE3"/>
    <w:rsid w:val="008E1F27"/>
    <w:rsid w:val="008E20C9"/>
    <w:rsid w:val="008E26C5"/>
    <w:rsid w:val="008E2716"/>
    <w:rsid w:val="008E27BB"/>
    <w:rsid w:val="008E2D08"/>
    <w:rsid w:val="008E2DF6"/>
    <w:rsid w:val="008E2EDB"/>
    <w:rsid w:val="008E3398"/>
    <w:rsid w:val="008E3AFC"/>
    <w:rsid w:val="008E3B16"/>
    <w:rsid w:val="008E3F36"/>
    <w:rsid w:val="008E4375"/>
    <w:rsid w:val="008E4402"/>
    <w:rsid w:val="008E45DB"/>
    <w:rsid w:val="008E46B6"/>
    <w:rsid w:val="008E47B0"/>
    <w:rsid w:val="008E4801"/>
    <w:rsid w:val="008E51B1"/>
    <w:rsid w:val="008E5398"/>
    <w:rsid w:val="008E53F7"/>
    <w:rsid w:val="008E58B3"/>
    <w:rsid w:val="008E5911"/>
    <w:rsid w:val="008E5C9A"/>
    <w:rsid w:val="008E68B7"/>
    <w:rsid w:val="008E7437"/>
    <w:rsid w:val="008E7657"/>
    <w:rsid w:val="008E796D"/>
    <w:rsid w:val="008E7B17"/>
    <w:rsid w:val="008E7DBA"/>
    <w:rsid w:val="008E7DD5"/>
    <w:rsid w:val="008E7E60"/>
    <w:rsid w:val="008E7F0C"/>
    <w:rsid w:val="008F0428"/>
    <w:rsid w:val="008F06DF"/>
    <w:rsid w:val="008F1343"/>
    <w:rsid w:val="008F1428"/>
    <w:rsid w:val="008F159C"/>
    <w:rsid w:val="008F1637"/>
    <w:rsid w:val="008F1DBD"/>
    <w:rsid w:val="008F1FEB"/>
    <w:rsid w:val="008F2056"/>
    <w:rsid w:val="008F212F"/>
    <w:rsid w:val="008F21B1"/>
    <w:rsid w:val="008F26A3"/>
    <w:rsid w:val="008F2966"/>
    <w:rsid w:val="008F3535"/>
    <w:rsid w:val="008F393F"/>
    <w:rsid w:val="008F39DB"/>
    <w:rsid w:val="008F3B2C"/>
    <w:rsid w:val="008F3CEB"/>
    <w:rsid w:val="008F3E1A"/>
    <w:rsid w:val="008F3E60"/>
    <w:rsid w:val="008F45A7"/>
    <w:rsid w:val="008F4D51"/>
    <w:rsid w:val="008F504F"/>
    <w:rsid w:val="008F592F"/>
    <w:rsid w:val="008F61E2"/>
    <w:rsid w:val="008F6247"/>
    <w:rsid w:val="008F64A0"/>
    <w:rsid w:val="008F65F6"/>
    <w:rsid w:val="008F6A58"/>
    <w:rsid w:val="008F6A83"/>
    <w:rsid w:val="008F6FCA"/>
    <w:rsid w:val="008F71BE"/>
    <w:rsid w:val="008F765F"/>
    <w:rsid w:val="008F778A"/>
    <w:rsid w:val="008F79CD"/>
    <w:rsid w:val="008F7C89"/>
    <w:rsid w:val="008F7EC3"/>
    <w:rsid w:val="00900226"/>
    <w:rsid w:val="009003C9"/>
    <w:rsid w:val="0090042A"/>
    <w:rsid w:val="00900597"/>
    <w:rsid w:val="00900AC9"/>
    <w:rsid w:val="00901AA7"/>
    <w:rsid w:val="00901AB8"/>
    <w:rsid w:val="00902158"/>
    <w:rsid w:val="00902280"/>
    <w:rsid w:val="009023F2"/>
    <w:rsid w:val="00902607"/>
    <w:rsid w:val="009026EC"/>
    <w:rsid w:val="00902CC9"/>
    <w:rsid w:val="00902D2F"/>
    <w:rsid w:val="00902F96"/>
    <w:rsid w:val="009032B0"/>
    <w:rsid w:val="00903650"/>
    <w:rsid w:val="0090385D"/>
    <w:rsid w:val="00903893"/>
    <w:rsid w:val="00903C2C"/>
    <w:rsid w:val="00903F21"/>
    <w:rsid w:val="00904377"/>
    <w:rsid w:val="00904629"/>
    <w:rsid w:val="0090472A"/>
    <w:rsid w:val="00904DCE"/>
    <w:rsid w:val="009051A7"/>
    <w:rsid w:val="00905750"/>
    <w:rsid w:val="009058F1"/>
    <w:rsid w:val="00905C2C"/>
    <w:rsid w:val="00905DB5"/>
    <w:rsid w:val="00905EE8"/>
    <w:rsid w:val="00906018"/>
    <w:rsid w:val="0090602E"/>
    <w:rsid w:val="00906232"/>
    <w:rsid w:val="0090639B"/>
    <w:rsid w:val="009065B9"/>
    <w:rsid w:val="0090667F"/>
    <w:rsid w:val="009068CB"/>
    <w:rsid w:val="00906C64"/>
    <w:rsid w:val="00906FBF"/>
    <w:rsid w:val="00906FC7"/>
    <w:rsid w:val="00907194"/>
    <w:rsid w:val="009073FF"/>
    <w:rsid w:val="009075D9"/>
    <w:rsid w:val="00907738"/>
    <w:rsid w:val="0090777F"/>
    <w:rsid w:val="00907915"/>
    <w:rsid w:val="00907A6C"/>
    <w:rsid w:val="00907BD3"/>
    <w:rsid w:val="00907E50"/>
    <w:rsid w:val="00910031"/>
    <w:rsid w:val="009102D2"/>
    <w:rsid w:val="00910D52"/>
    <w:rsid w:val="00910EE7"/>
    <w:rsid w:val="00910F50"/>
    <w:rsid w:val="0091186D"/>
    <w:rsid w:val="009119C4"/>
    <w:rsid w:val="009119F1"/>
    <w:rsid w:val="009120CC"/>
    <w:rsid w:val="009127BF"/>
    <w:rsid w:val="00912E3F"/>
    <w:rsid w:val="00913216"/>
    <w:rsid w:val="00913A12"/>
    <w:rsid w:val="00913AA2"/>
    <w:rsid w:val="00913C5B"/>
    <w:rsid w:val="00913E40"/>
    <w:rsid w:val="00914158"/>
    <w:rsid w:val="009146CB"/>
    <w:rsid w:val="00914DCE"/>
    <w:rsid w:val="0091500F"/>
    <w:rsid w:val="009154C3"/>
    <w:rsid w:val="00916121"/>
    <w:rsid w:val="009163E4"/>
    <w:rsid w:val="00916568"/>
    <w:rsid w:val="009166AB"/>
    <w:rsid w:val="0091671F"/>
    <w:rsid w:val="00916B9C"/>
    <w:rsid w:val="00916EBD"/>
    <w:rsid w:val="00917101"/>
    <w:rsid w:val="00917126"/>
    <w:rsid w:val="00917289"/>
    <w:rsid w:val="00917465"/>
    <w:rsid w:val="00917651"/>
    <w:rsid w:val="00917A3A"/>
    <w:rsid w:val="00917EF6"/>
    <w:rsid w:val="00920054"/>
    <w:rsid w:val="009202E9"/>
    <w:rsid w:val="0092046A"/>
    <w:rsid w:val="00920A77"/>
    <w:rsid w:val="00920BA0"/>
    <w:rsid w:val="00921240"/>
    <w:rsid w:val="009213F0"/>
    <w:rsid w:val="0092188B"/>
    <w:rsid w:val="00921BB5"/>
    <w:rsid w:val="00921DD3"/>
    <w:rsid w:val="00922073"/>
    <w:rsid w:val="009220D9"/>
    <w:rsid w:val="00922177"/>
    <w:rsid w:val="009224CF"/>
    <w:rsid w:val="0092274E"/>
    <w:rsid w:val="0092278C"/>
    <w:rsid w:val="0092327E"/>
    <w:rsid w:val="009232D1"/>
    <w:rsid w:val="009233F2"/>
    <w:rsid w:val="00923660"/>
    <w:rsid w:val="009236CA"/>
    <w:rsid w:val="00923956"/>
    <w:rsid w:val="009243EF"/>
    <w:rsid w:val="00925168"/>
    <w:rsid w:val="00925287"/>
    <w:rsid w:val="009259EB"/>
    <w:rsid w:val="00925BE9"/>
    <w:rsid w:val="00926751"/>
    <w:rsid w:val="00926769"/>
    <w:rsid w:val="0092688A"/>
    <w:rsid w:val="00926CDD"/>
    <w:rsid w:val="009272A0"/>
    <w:rsid w:val="0092759E"/>
    <w:rsid w:val="00927762"/>
    <w:rsid w:val="00927FC6"/>
    <w:rsid w:val="00930601"/>
    <w:rsid w:val="00930646"/>
    <w:rsid w:val="00930772"/>
    <w:rsid w:val="00930E49"/>
    <w:rsid w:val="00930FAE"/>
    <w:rsid w:val="0093129F"/>
    <w:rsid w:val="0093140E"/>
    <w:rsid w:val="00931431"/>
    <w:rsid w:val="0093159C"/>
    <w:rsid w:val="0093198B"/>
    <w:rsid w:val="009319E3"/>
    <w:rsid w:val="00931A31"/>
    <w:rsid w:val="00931AB1"/>
    <w:rsid w:val="00931D10"/>
    <w:rsid w:val="00931F8C"/>
    <w:rsid w:val="0093205A"/>
    <w:rsid w:val="00932AF4"/>
    <w:rsid w:val="0093300E"/>
    <w:rsid w:val="009333F0"/>
    <w:rsid w:val="0093347B"/>
    <w:rsid w:val="0093374A"/>
    <w:rsid w:val="00933899"/>
    <w:rsid w:val="00933980"/>
    <w:rsid w:val="009339C8"/>
    <w:rsid w:val="00933A72"/>
    <w:rsid w:val="00933ACF"/>
    <w:rsid w:val="00933C1D"/>
    <w:rsid w:val="00934135"/>
    <w:rsid w:val="00934302"/>
    <w:rsid w:val="00934555"/>
    <w:rsid w:val="0093496D"/>
    <w:rsid w:val="009353A8"/>
    <w:rsid w:val="009354A6"/>
    <w:rsid w:val="0093564C"/>
    <w:rsid w:val="009357E0"/>
    <w:rsid w:val="00935A5E"/>
    <w:rsid w:val="00935C85"/>
    <w:rsid w:val="0093604F"/>
    <w:rsid w:val="00936552"/>
    <w:rsid w:val="009366D2"/>
    <w:rsid w:val="0093681F"/>
    <w:rsid w:val="00936D95"/>
    <w:rsid w:val="00937082"/>
    <w:rsid w:val="009370B3"/>
    <w:rsid w:val="00937212"/>
    <w:rsid w:val="0093749B"/>
    <w:rsid w:val="00937995"/>
    <w:rsid w:val="00937E2B"/>
    <w:rsid w:val="00940225"/>
    <w:rsid w:val="00940364"/>
    <w:rsid w:val="00940724"/>
    <w:rsid w:val="009407C5"/>
    <w:rsid w:val="009407DB"/>
    <w:rsid w:val="00940B74"/>
    <w:rsid w:val="00940C1F"/>
    <w:rsid w:val="00941573"/>
    <w:rsid w:val="009417A8"/>
    <w:rsid w:val="00941EAE"/>
    <w:rsid w:val="00942034"/>
    <w:rsid w:val="009421DB"/>
    <w:rsid w:val="009422AA"/>
    <w:rsid w:val="009424FA"/>
    <w:rsid w:val="00942C79"/>
    <w:rsid w:val="00943309"/>
    <w:rsid w:val="0094372E"/>
    <w:rsid w:val="009443E3"/>
    <w:rsid w:val="00944683"/>
    <w:rsid w:val="00944A89"/>
    <w:rsid w:val="00944E36"/>
    <w:rsid w:val="00945576"/>
    <w:rsid w:val="00945764"/>
    <w:rsid w:val="00945C39"/>
    <w:rsid w:val="00945D37"/>
    <w:rsid w:val="00946DC9"/>
    <w:rsid w:val="00946F23"/>
    <w:rsid w:val="00947962"/>
    <w:rsid w:val="00947B86"/>
    <w:rsid w:val="00947D4A"/>
    <w:rsid w:val="00950058"/>
    <w:rsid w:val="009501AE"/>
    <w:rsid w:val="00950511"/>
    <w:rsid w:val="0095067F"/>
    <w:rsid w:val="009509AC"/>
    <w:rsid w:val="00950CC5"/>
    <w:rsid w:val="009511E3"/>
    <w:rsid w:val="009515D0"/>
    <w:rsid w:val="009518C8"/>
    <w:rsid w:val="00951B61"/>
    <w:rsid w:val="00952035"/>
    <w:rsid w:val="00952141"/>
    <w:rsid w:val="00952399"/>
    <w:rsid w:val="00953328"/>
    <w:rsid w:val="00953756"/>
    <w:rsid w:val="009538B8"/>
    <w:rsid w:val="00953BB2"/>
    <w:rsid w:val="009542C3"/>
    <w:rsid w:val="00954553"/>
    <w:rsid w:val="0095465F"/>
    <w:rsid w:val="009546C2"/>
    <w:rsid w:val="0095498F"/>
    <w:rsid w:val="009551A9"/>
    <w:rsid w:val="009553AE"/>
    <w:rsid w:val="00955475"/>
    <w:rsid w:val="00955489"/>
    <w:rsid w:val="00955888"/>
    <w:rsid w:val="00955A20"/>
    <w:rsid w:val="00955CFC"/>
    <w:rsid w:val="00955D8C"/>
    <w:rsid w:val="00955DBD"/>
    <w:rsid w:val="00955EEE"/>
    <w:rsid w:val="0095626B"/>
    <w:rsid w:val="0095628C"/>
    <w:rsid w:val="00956419"/>
    <w:rsid w:val="009565FA"/>
    <w:rsid w:val="00956FF8"/>
    <w:rsid w:val="009570DD"/>
    <w:rsid w:val="0095721A"/>
    <w:rsid w:val="009578D5"/>
    <w:rsid w:val="00957951"/>
    <w:rsid w:val="0095795E"/>
    <w:rsid w:val="00957A3C"/>
    <w:rsid w:val="00957E60"/>
    <w:rsid w:val="0096001B"/>
    <w:rsid w:val="0096031D"/>
    <w:rsid w:val="00960591"/>
    <w:rsid w:val="00960B3F"/>
    <w:rsid w:val="00960D13"/>
    <w:rsid w:val="00960F39"/>
    <w:rsid w:val="00961803"/>
    <w:rsid w:val="009619B3"/>
    <w:rsid w:val="00962298"/>
    <w:rsid w:val="0096248B"/>
    <w:rsid w:val="0096249B"/>
    <w:rsid w:val="00962830"/>
    <w:rsid w:val="00962A80"/>
    <w:rsid w:val="00962C68"/>
    <w:rsid w:val="00962E2B"/>
    <w:rsid w:val="00962E64"/>
    <w:rsid w:val="00963835"/>
    <w:rsid w:val="00963A4E"/>
    <w:rsid w:val="00963BD0"/>
    <w:rsid w:val="0096407A"/>
    <w:rsid w:val="009645D4"/>
    <w:rsid w:val="00964A5E"/>
    <w:rsid w:val="00964D26"/>
    <w:rsid w:val="00964DB2"/>
    <w:rsid w:val="009654E4"/>
    <w:rsid w:val="0096578E"/>
    <w:rsid w:val="00965901"/>
    <w:rsid w:val="00965BF1"/>
    <w:rsid w:val="0096661E"/>
    <w:rsid w:val="00966906"/>
    <w:rsid w:val="00966932"/>
    <w:rsid w:val="00966AE5"/>
    <w:rsid w:val="00966EF0"/>
    <w:rsid w:val="00966F45"/>
    <w:rsid w:val="00966FF4"/>
    <w:rsid w:val="009671A3"/>
    <w:rsid w:val="0096738B"/>
    <w:rsid w:val="009676E3"/>
    <w:rsid w:val="00967D69"/>
    <w:rsid w:val="0097035A"/>
    <w:rsid w:val="009707AA"/>
    <w:rsid w:val="00970E27"/>
    <w:rsid w:val="00970FFB"/>
    <w:rsid w:val="009712EF"/>
    <w:rsid w:val="00971F11"/>
    <w:rsid w:val="00971F59"/>
    <w:rsid w:val="009725BE"/>
    <w:rsid w:val="0097297F"/>
    <w:rsid w:val="00972C88"/>
    <w:rsid w:val="00972CBC"/>
    <w:rsid w:val="00972E2D"/>
    <w:rsid w:val="00972EBC"/>
    <w:rsid w:val="00973478"/>
    <w:rsid w:val="00973876"/>
    <w:rsid w:val="00973A48"/>
    <w:rsid w:val="00974259"/>
    <w:rsid w:val="00974828"/>
    <w:rsid w:val="00974F6F"/>
    <w:rsid w:val="00975608"/>
    <w:rsid w:val="009757F4"/>
    <w:rsid w:val="00975ACD"/>
    <w:rsid w:val="00975EDC"/>
    <w:rsid w:val="00975FC4"/>
    <w:rsid w:val="0097601D"/>
    <w:rsid w:val="00976125"/>
    <w:rsid w:val="00976355"/>
    <w:rsid w:val="00976FEB"/>
    <w:rsid w:val="0097776A"/>
    <w:rsid w:val="00977969"/>
    <w:rsid w:val="00977C26"/>
    <w:rsid w:val="00977E7E"/>
    <w:rsid w:val="00977F26"/>
    <w:rsid w:val="00980302"/>
    <w:rsid w:val="0098075D"/>
    <w:rsid w:val="00980A65"/>
    <w:rsid w:val="00980B4B"/>
    <w:rsid w:val="00980B51"/>
    <w:rsid w:val="00980EBE"/>
    <w:rsid w:val="00980F36"/>
    <w:rsid w:val="009814E5"/>
    <w:rsid w:val="00981A9E"/>
    <w:rsid w:val="00981E89"/>
    <w:rsid w:val="00981F25"/>
    <w:rsid w:val="00982090"/>
    <w:rsid w:val="009820B1"/>
    <w:rsid w:val="00982422"/>
    <w:rsid w:val="0098264E"/>
    <w:rsid w:val="0098285E"/>
    <w:rsid w:val="009828A4"/>
    <w:rsid w:val="00982BB4"/>
    <w:rsid w:val="00982EF1"/>
    <w:rsid w:val="00983235"/>
    <w:rsid w:val="00983614"/>
    <w:rsid w:val="00983978"/>
    <w:rsid w:val="00984672"/>
    <w:rsid w:val="00985A73"/>
    <w:rsid w:val="00985F6C"/>
    <w:rsid w:val="009860A9"/>
    <w:rsid w:val="0098620E"/>
    <w:rsid w:val="00986262"/>
    <w:rsid w:val="009869D1"/>
    <w:rsid w:val="00986B58"/>
    <w:rsid w:val="00987707"/>
    <w:rsid w:val="00987B8C"/>
    <w:rsid w:val="00990222"/>
    <w:rsid w:val="009902AD"/>
    <w:rsid w:val="00990469"/>
    <w:rsid w:val="00990585"/>
    <w:rsid w:val="00990836"/>
    <w:rsid w:val="00990F49"/>
    <w:rsid w:val="00991072"/>
    <w:rsid w:val="00991767"/>
    <w:rsid w:val="009918A8"/>
    <w:rsid w:val="009919A9"/>
    <w:rsid w:val="00992068"/>
    <w:rsid w:val="00992688"/>
    <w:rsid w:val="00992A48"/>
    <w:rsid w:val="00992B8E"/>
    <w:rsid w:val="00992F39"/>
    <w:rsid w:val="009934AE"/>
    <w:rsid w:val="00993A51"/>
    <w:rsid w:val="00993AD1"/>
    <w:rsid w:val="00993EC5"/>
    <w:rsid w:val="0099400E"/>
    <w:rsid w:val="0099412D"/>
    <w:rsid w:val="00994C31"/>
    <w:rsid w:val="00994D20"/>
    <w:rsid w:val="00994EFC"/>
    <w:rsid w:val="009956A7"/>
    <w:rsid w:val="009956E1"/>
    <w:rsid w:val="009958C2"/>
    <w:rsid w:val="00996077"/>
    <w:rsid w:val="009960D9"/>
    <w:rsid w:val="0099621F"/>
    <w:rsid w:val="00996704"/>
    <w:rsid w:val="00996762"/>
    <w:rsid w:val="00996897"/>
    <w:rsid w:val="009968CF"/>
    <w:rsid w:val="009970A1"/>
    <w:rsid w:val="0099727C"/>
    <w:rsid w:val="009972E9"/>
    <w:rsid w:val="009976B0"/>
    <w:rsid w:val="009A02E5"/>
    <w:rsid w:val="009A03C9"/>
    <w:rsid w:val="009A08B9"/>
    <w:rsid w:val="009A0CD7"/>
    <w:rsid w:val="009A10BB"/>
    <w:rsid w:val="009A187B"/>
    <w:rsid w:val="009A1941"/>
    <w:rsid w:val="009A1FB0"/>
    <w:rsid w:val="009A1FFD"/>
    <w:rsid w:val="009A2203"/>
    <w:rsid w:val="009A22DD"/>
    <w:rsid w:val="009A2367"/>
    <w:rsid w:val="009A2492"/>
    <w:rsid w:val="009A2567"/>
    <w:rsid w:val="009A2C60"/>
    <w:rsid w:val="009A328C"/>
    <w:rsid w:val="009A3874"/>
    <w:rsid w:val="009A3A42"/>
    <w:rsid w:val="009A3B09"/>
    <w:rsid w:val="009A3BE8"/>
    <w:rsid w:val="009A3C2C"/>
    <w:rsid w:val="009A42FB"/>
    <w:rsid w:val="009A46B3"/>
    <w:rsid w:val="009A4D8B"/>
    <w:rsid w:val="009A4FBA"/>
    <w:rsid w:val="009A5CA6"/>
    <w:rsid w:val="009A5D73"/>
    <w:rsid w:val="009A5E19"/>
    <w:rsid w:val="009A70DB"/>
    <w:rsid w:val="009B0415"/>
    <w:rsid w:val="009B045F"/>
    <w:rsid w:val="009B07F5"/>
    <w:rsid w:val="009B090E"/>
    <w:rsid w:val="009B0A19"/>
    <w:rsid w:val="009B16E5"/>
    <w:rsid w:val="009B1902"/>
    <w:rsid w:val="009B196F"/>
    <w:rsid w:val="009B1AF2"/>
    <w:rsid w:val="009B1B26"/>
    <w:rsid w:val="009B1EF3"/>
    <w:rsid w:val="009B1F20"/>
    <w:rsid w:val="009B21C8"/>
    <w:rsid w:val="009B2343"/>
    <w:rsid w:val="009B25E7"/>
    <w:rsid w:val="009B26FB"/>
    <w:rsid w:val="009B271B"/>
    <w:rsid w:val="009B2B3B"/>
    <w:rsid w:val="009B30C6"/>
    <w:rsid w:val="009B3591"/>
    <w:rsid w:val="009B385F"/>
    <w:rsid w:val="009B3914"/>
    <w:rsid w:val="009B3C7A"/>
    <w:rsid w:val="009B4189"/>
    <w:rsid w:val="009B535F"/>
    <w:rsid w:val="009B54A2"/>
    <w:rsid w:val="009B5F1E"/>
    <w:rsid w:val="009B5F58"/>
    <w:rsid w:val="009B5F59"/>
    <w:rsid w:val="009B6416"/>
    <w:rsid w:val="009B64FF"/>
    <w:rsid w:val="009B65E8"/>
    <w:rsid w:val="009B6744"/>
    <w:rsid w:val="009B677D"/>
    <w:rsid w:val="009B6E8B"/>
    <w:rsid w:val="009B7198"/>
    <w:rsid w:val="009B789A"/>
    <w:rsid w:val="009B7FDC"/>
    <w:rsid w:val="009C07A7"/>
    <w:rsid w:val="009C09BB"/>
    <w:rsid w:val="009C0A86"/>
    <w:rsid w:val="009C0A8C"/>
    <w:rsid w:val="009C102C"/>
    <w:rsid w:val="009C11EA"/>
    <w:rsid w:val="009C129C"/>
    <w:rsid w:val="009C1494"/>
    <w:rsid w:val="009C1666"/>
    <w:rsid w:val="009C173F"/>
    <w:rsid w:val="009C176C"/>
    <w:rsid w:val="009C1B1A"/>
    <w:rsid w:val="009C1F29"/>
    <w:rsid w:val="009C26AA"/>
    <w:rsid w:val="009C2D3E"/>
    <w:rsid w:val="009C342B"/>
    <w:rsid w:val="009C3AAE"/>
    <w:rsid w:val="009C3B1F"/>
    <w:rsid w:val="009C3B2B"/>
    <w:rsid w:val="009C3D21"/>
    <w:rsid w:val="009C3D29"/>
    <w:rsid w:val="009C4074"/>
    <w:rsid w:val="009C4237"/>
    <w:rsid w:val="009C44E6"/>
    <w:rsid w:val="009C485C"/>
    <w:rsid w:val="009C4A26"/>
    <w:rsid w:val="009C4C2D"/>
    <w:rsid w:val="009C4CDB"/>
    <w:rsid w:val="009C4EE5"/>
    <w:rsid w:val="009C54F2"/>
    <w:rsid w:val="009C5908"/>
    <w:rsid w:val="009C5CC7"/>
    <w:rsid w:val="009C6182"/>
    <w:rsid w:val="009C6391"/>
    <w:rsid w:val="009C644C"/>
    <w:rsid w:val="009C65C1"/>
    <w:rsid w:val="009C672F"/>
    <w:rsid w:val="009C6806"/>
    <w:rsid w:val="009C6D2A"/>
    <w:rsid w:val="009C6EAD"/>
    <w:rsid w:val="009C6EED"/>
    <w:rsid w:val="009C7293"/>
    <w:rsid w:val="009C7598"/>
    <w:rsid w:val="009D0325"/>
    <w:rsid w:val="009D03ED"/>
    <w:rsid w:val="009D09E7"/>
    <w:rsid w:val="009D0D08"/>
    <w:rsid w:val="009D10F4"/>
    <w:rsid w:val="009D110C"/>
    <w:rsid w:val="009D16DE"/>
    <w:rsid w:val="009D1901"/>
    <w:rsid w:val="009D190C"/>
    <w:rsid w:val="009D1AF3"/>
    <w:rsid w:val="009D1F67"/>
    <w:rsid w:val="009D2054"/>
    <w:rsid w:val="009D2580"/>
    <w:rsid w:val="009D2B87"/>
    <w:rsid w:val="009D2C59"/>
    <w:rsid w:val="009D383A"/>
    <w:rsid w:val="009D3B3A"/>
    <w:rsid w:val="009D3C9B"/>
    <w:rsid w:val="009D3DED"/>
    <w:rsid w:val="009D44CF"/>
    <w:rsid w:val="009D4B51"/>
    <w:rsid w:val="009D4CB7"/>
    <w:rsid w:val="009D4F7B"/>
    <w:rsid w:val="009D5E45"/>
    <w:rsid w:val="009D601E"/>
    <w:rsid w:val="009D663F"/>
    <w:rsid w:val="009D680E"/>
    <w:rsid w:val="009D6EA2"/>
    <w:rsid w:val="009D6EEF"/>
    <w:rsid w:val="009D76DE"/>
    <w:rsid w:val="009D7747"/>
    <w:rsid w:val="009E0395"/>
    <w:rsid w:val="009E03F9"/>
    <w:rsid w:val="009E0481"/>
    <w:rsid w:val="009E059C"/>
    <w:rsid w:val="009E13C3"/>
    <w:rsid w:val="009E15E5"/>
    <w:rsid w:val="009E1826"/>
    <w:rsid w:val="009E2107"/>
    <w:rsid w:val="009E27F2"/>
    <w:rsid w:val="009E2AA3"/>
    <w:rsid w:val="009E2B3F"/>
    <w:rsid w:val="009E2B51"/>
    <w:rsid w:val="009E2CED"/>
    <w:rsid w:val="009E2D6B"/>
    <w:rsid w:val="009E2ECC"/>
    <w:rsid w:val="009E3072"/>
    <w:rsid w:val="009E315C"/>
    <w:rsid w:val="009E325E"/>
    <w:rsid w:val="009E36F1"/>
    <w:rsid w:val="009E4371"/>
    <w:rsid w:val="009E445C"/>
    <w:rsid w:val="009E4573"/>
    <w:rsid w:val="009E4961"/>
    <w:rsid w:val="009E496C"/>
    <w:rsid w:val="009E4F8E"/>
    <w:rsid w:val="009E50C3"/>
    <w:rsid w:val="009E5216"/>
    <w:rsid w:val="009E57FE"/>
    <w:rsid w:val="009E5BB2"/>
    <w:rsid w:val="009E60B6"/>
    <w:rsid w:val="009E625D"/>
    <w:rsid w:val="009E644E"/>
    <w:rsid w:val="009E64AE"/>
    <w:rsid w:val="009E6CF8"/>
    <w:rsid w:val="009E6E81"/>
    <w:rsid w:val="009E6F6A"/>
    <w:rsid w:val="009E70D5"/>
    <w:rsid w:val="009E711C"/>
    <w:rsid w:val="009E7689"/>
    <w:rsid w:val="009E7831"/>
    <w:rsid w:val="009E7C42"/>
    <w:rsid w:val="009E7EDC"/>
    <w:rsid w:val="009E7FD6"/>
    <w:rsid w:val="009F01FA"/>
    <w:rsid w:val="009F02C4"/>
    <w:rsid w:val="009F0453"/>
    <w:rsid w:val="009F07E7"/>
    <w:rsid w:val="009F0810"/>
    <w:rsid w:val="009F18B4"/>
    <w:rsid w:val="009F1AF8"/>
    <w:rsid w:val="009F1EDF"/>
    <w:rsid w:val="009F209F"/>
    <w:rsid w:val="009F210E"/>
    <w:rsid w:val="009F233E"/>
    <w:rsid w:val="009F24AC"/>
    <w:rsid w:val="009F26FD"/>
    <w:rsid w:val="009F2758"/>
    <w:rsid w:val="009F2871"/>
    <w:rsid w:val="009F2875"/>
    <w:rsid w:val="009F2993"/>
    <w:rsid w:val="009F29AA"/>
    <w:rsid w:val="009F2B37"/>
    <w:rsid w:val="009F2DCC"/>
    <w:rsid w:val="009F3738"/>
    <w:rsid w:val="009F49DC"/>
    <w:rsid w:val="009F4D0F"/>
    <w:rsid w:val="009F57D6"/>
    <w:rsid w:val="009F57DE"/>
    <w:rsid w:val="009F5952"/>
    <w:rsid w:val="009F5CB4"/>
    <w:rsid w:val="009F5E3E"/>
    <w:rsid w:val="009F5EDC"/>
    <w:rsid w:val="009F5F7B"/>
    <w:rsid w:val="009F60A2"/>
    <w:rsid w:val="009F60B8"/>
    <w:rsid w:val="009F64D6"/>
    <w:rsid w:val="009F6861"/>
    <w:rsid w:val="009F6EDA"/>
    <w:rsid w:val="009F71FA"/>
    <w:rsid w:val="009F74DF"/>
    <w:rsid w:val="009F74F6"/>
    <w:rsid w:val="009F7627"/>
    <w:rsid w:val="009F789F"/>
    <w:rsid w:val="009F7B76"/>
    <w:rsid w:val="00A00391"/>
    <w:rsid w:val="00A007B1"/>
    <w:rsid w:val="00A0082D"/>
    <w:rsid w:val="00A00DA6"/>
    <w:rsid w:val="00A01022"/>
    <w:rsid w:val="00A013FD"/>
    <w:rsid w:val="00A01645"/>
    <w:rsid w:val="00A01B1F"/>
    <w:rsid w:val="00A01B65"/>
    <w:rsid w:val="00A01C5F"/>
    <w:rsid w:val="00A01D52"/>
    <w:rsid w:val="00A02501"/>
    <w:rsid w:val="00A02821"/>
    <w:rsid w:val="00A0293B"/>
    <w:rsid w:val="00A02BE5"/>
    <w:rsid w:val="00A02E8C"/>
    <w:rsid w:val="00A030D8"/>
    <w:rsid w:val="00A034C6"/>
    <w:rsid w:val="00A036C7"/>
    <w:rsid w:val="00A037DB"/>
    <w:rsid w:val="00A038F6"/>
    <w:rsid w:val="00A03909"/>
    <w:rsid w:val="00A041DA"/>
    <w:rsid w:val="00A04658"/>
    <w:rsid w:val="00A04802"/>
    <w:rsid w:val="00A04D41"/>
    <w:rsid w:val="00A04EBC"/>
    <w:rsid w:val="00A05464"/>
    <w:rsid w:val="00A055D6"/>
    <w:rsid w:val="00A0578A"/>
    <w:rsid w:val="00A05C1B"/>
    <w:rsid w:val="00A05DDB"/>
    <w:rsid w:val="00A05E0A"/>
    <w:rsid w:val="00A06CBC"/>
    <w:rsid w:val="00A06CF5"/>
    <w:rsid w:val="00A075A0"/>
    <w:rsid w:val="00A07A99"/>
    <w:rsid w:val="00A07AB7"/>
    <w:rsid w:val="00A07FF5"/>
    <w:rsid w:val="00A103C0"/>
    <w:rsid w:val="00A103F3"/>
    <w:rsid w:val="00A103F7"/>
    <w:rsid w:val="00A10572"/>
    <w:rsid w:val="00A108B4"/>
    <w:rsid w:val="00A10BFF"/>
    <w:rsid w:val="00A10C72"/>
    <w:rsid w:val="00A114BF"/>
    <w:rsid w:val="00A11574"/>
    <w:rsid w:val="00A11EDB"/>
    <w:rsid w:val="00A11F7F"/>
    <w:rsid w:val="00A120A1"/>
    <w:rsid w:val="00A1212E"/>
    <w:rsid w:val="00A1222C"/>
    <w:rsid w:val="00A1234D"/>
    <w:rsid w:val="00A1244D"/>
    <w:rsid w:val="00A1259D"/>
    <w:rsid w:val="00A12B2A"/>
    <w:rsid w:val="00A12CED"/>
    <w:rsid w:val="00A131D5"/>
    <w:rsid w:val="00A136A5"/>
    <w:rsid w:val="00A13F02"/>
    <w:rsid w:val="00A14018"/>
    <w:rsid w:val="00A142A8"/>
    <w:rsid w:val="00A144B4"/>
    <w:rsid w:val="00A14ACC"/>
    <w:rsid w:val="00A14B87"/>
    <w:rsid w:val="00A14EC6"/>
    <w:rsid w:val="00A14F42"/>
    <w:rsid w:val="00A15646"/>
    <w:rsid w:val="00A15A40"/>
    <w:rsid w:val="00A15B69"/>
    <w:rsid w:val="00A161ED"/>
    <w:rsid w:val="00A16D32"/>
    <w:rsid w:val="00A16EAF"/>
    <w:rsid w:val="00A1715A"/>
    <w:rsid w:val="00A17210"/>
    <w:rsid w:val="00A173AC"/>
    <w:rsid w:val="00A17847"/>
    <w:rsid w:val="00A17AC9"/>
    <w:rsid w:val="00A205FD"/>
    <w:rsid w:val="00A20733"/>
    <w:rsid w:val="00A20F02"/>
    <w:rsid w:val="00A215E1"/>
    <w:rsid w:val="00A2164A"/>
    <w:rsid w:val="00A21950"/>
    <w:rsid w:val="00A21A9D"/>
    <w:rsid w:val="00A21D93"/>
    <w:rsid w:val="00A21EBD"/>
    <w:rsid w:val="00A22138"/>
    <w:rsid w:val="00A2228A"/>
    <w:rsid w:val="00A2267F"/>
    <w:rsid w:val="00A228CC"/>
    <w:rsid w:val="00A23285"/>
    <w:rsid w:val="00A23429"/>
    <w:rsid w:val="00A2344E"/>
    <w:rsid w:val="00A23620"/>
    <w:rsid w:val="00A23A21"/>
    <w:rsid w:val="00A240F6"/>
    <w:rsid w:val="00A24CA2"/>
    <w:rsid w:val="00A25395"/>
    <w:rsid w:val="00A25CF7"/>
    <w:rsid w:val="00A25EA5"/>
    <w:rsid w:val="00A26D64"/>
    <w:rsid w:val="00A26FAC"/>
    <w:rsid w:val="00A27524"/>
    <w:rsid w:val="00A2762F"/>
    <w:rsid w:val="00A27E7B"/>
    <w:rsid w:val="00A3042E"/>
    <w:rsid w:val="00A3087A"/>
    <w:rsid w:val="00A31315"/>
    <w:rsid w:val="00A313EC"/>
    <w:rsid w:val="00A3156A"/>
    <w:rsid w:val="00A317A0"/>
    <w:rsid w:val="00A31826"/>
    <w:rsid w:val="00A31E46"/>
    <w:rsid w:val="00A32129"/>
    <w:rsid w:val="00A3293A"/>
    <w:rsid w:val="00A32CAC"/>
    <w:rsid w:val="00A32CFA"/>
    <w:rsid w:val="00A32F67"/>
    <w:rsid w:val="00A3307C"/>
    <w:rsid w:val="00A3309A"/>
    <w:rsid w:val="00A33404"/>
    <w:rsid w:val="00A3349B"/>
    <w:rsid w:val="00A3409D"/>
    <w:rsid w:val="00A34280"/>
    <w:rsid w:val="00A343BE"/>
    <w:rsid w:val="00A346EA"/>
    <w:rsid w:val="00A34C96"/>
    <w:rsid w:val="00A34DBF"/>
    <w:rsid w:val="00A34FC2"/>
    <w:rsid w:val="00A35170"/>
    <w:rsid w:val="00A353CE"/>
    <w:rsid w:val="00A3551F"/>
    <w:rsid w:val="00A355CF"/>
    <w:rsid w:val="00A368DE"/>
    <w:rsid w:val="00A368E2"/>
    <w:rsid w:val="00A378F4"/>
    <w:rsid w:val="00A40086"/>
    <w:rsid w:val="00A4033D"/>
    <w:rsid w:val="00A405D5"/>
    <w:rsid w:val="00A40681"/>
    <w:rsid w:val="00A40770"/>
    <w:rsid w:val="00A407FB"/>
    <w:rsid w:val="00A4106C"/>
    <w:rsid w:val="00A41AAB"/>
    <w:rsid w:val="00A41F7E"/>
    <w:rsid w:val="00A421C9"/>
    <w:rsid w:val="00A4226A"/>
    <w:rsid w:val="00A42433"/>
    <w:rsid w:val="00A426AD"/>
    <w:rsid w:val="00A430D2"/>
    <w:rsid w:val="00A43706"/>
    <w:rsid w:val="00A437DB"/>
    <w:rsid w:val="00A440FC"/>
    <w:rsid w:val="00A4432B"/>
    <w:rsid w:val="00A4496A"/>
    <w:rsid w:val="00A45C38"/>
    <w:rsid w:val="00A45FB0"/>
    <w:rsid w:val="00A46952"/>
    <w:rsid w:val="00A46B4E"/>
    <w:rsid w:val="00A46BCB"/>
    <w:rsid w:val="00A46DEC"/>
    <w:rsid w:val="00A46E1B"/>
    <w:rsid w:val="00A47796"/>
    <w:rsid w:val="00A478D7"/>
    <w:rsid w:val="00A47AB0"/>
    <w:rsid w:val="00A47B4E"/>
    <w:rsid w:val="00A47BAB"/>
    <w:rsid w:val="00A47EC5"/>
    <w:rsid w:val="00A503F4"/>
    <w:rsid w:val="00A5085A"/>
    <w:rsid w:val="00A50EBB"/>
    <w:rsid w:val="00A51480"/>
    <w:rsid w:val="00A517E3"/>
    <w:rsid w:val="00A51CD4"/>
    <w:rsid w:val="00A51D5E"/>
    <w:rsid w:val="00A51F7B"/>
    <w:rsid w:val="00A5222E"/>
    <w:rsid w:val="00A52304"/>
    <w:rsid w:val="00A52574"/>
    <w:rsid w:val="00A5264D"/>
    <w:rsid w:val="00A52911"/>
    <w:rsid w:val="00A52C5F"/>
    <w:rsid w:val="00A52E2A"/>
    <w:rsid w:val="00A52FE0"/>
    <w:rsid w:val="00A53042"/>
    <w:rsid w:val="00A5362A"/>
    <w:rsid w:val="00A53713"/>
    <w:rsid w:val="00A5404A"/>
    <w:rsid w:val="00A5410C"/>
    <w:rsid w:val="00A54202"/>
    <w:rsid w:val="00A542A1"/>
    <w:rsid w:val="00A54A49"/>
    <w:rsid w:val="00A54D61"/>
    <w:rsid w:val="00A54E0E"/>
    <w:rsid w:val="00A55091"/>
    <w:rsid w:val="00A550C0"/>
    <w:rsid w:val="00A55345"/>
    <w:rsid w:val="00A55A3D"/>
    <w:rsid w:val="00A55AB0"/>
    <w:rsid w:val="00A55BEA"/>
    <w:rsid w:val="00A55C3F"/>
    <w:rsid w:val="00A55CBA"/>
    <w:rsid w:val="00A55E43"/>
    <w:rsid w:val="00A5644F"/>
    <w:rsid w:val="00A564CC"/>
    <w:rsid w:val="00A567BF"/>
    <w:rsid w:val="00A56864"/>
    <w:rsid w:val="00A56EF6"/>
    <w:rsid w:val="00A57348"/>
    <w:rsid w:val="00A574A2"/>
    <w:rsid w:val="00A57AA7"/>
    <w:rsid w:val="00A57EE0"/>
    <w:rsid w:val="00A604E7"/>
    <w:rsid w:val="00A60512"/>
    <w:rsid w:val="00A6086F"/>
    <w:rsid w:val="00A60B5F"/>
    <w:rsid w:val="00A60C43"/>
    <w:rsid w:val="00A60FA6"/>
    <w:rsid w:val="00A6103D"/>
    <w:rsid w:val="00A610F5"/>
    <w:rsid w:val="00A612FB"/>
    <w:rsid w:val="00A61505"/>
    <w:rsid w:val="00A61C7E"/>
    <w:rsid w:val="00A61CE9"/>
    <w:rsid w:val="00A62192"/>
    <w:rsid w:val="00A62254"/>
    <w:rsid w:val="00A62378"/>
    <w:rsid w:val="00A6292B"/>
    <w:rsid w:val="00A62A22"/>
    <w:rsid w:val="00A62CCB"/>
    <w:rsid w:val="00A630D9"/>
    <w:rsid w:val="00A63267"/>
    <w:rsid w:val="00A632E4"/>
    <w:rsid w:val="00A632FC"/>
    <w:rsid w:val="00A63515"/>
    <w:rsid w:val="00A63944"/>
    <w:rsid w:val="00A63B60"/>
    <w:rsid w:val="00A63FD0"/>
    <w:rsid w:val="00A6400D"/>
    <w:rsid w:val="00A64014"/>
    <w:rsid w:val="00A6413D"/>
    <w:rsid w:val="00A6452A"/>
    <w:rsid w:val="00A647C7"/>
    <w:rsid w:val="00A64895"/>
    <w:rsid w:val="00A64E3F"/>
    <w:rsid w:val="00A65293"/>
    <w:rsid w:val="00A652A5"/>
    <w:rsid w:val="00A653D2"/>
    <w:rsid w:val="00A65524"/>
    <w:rsid w:val="00A65D24"/>
    <w:rsid w:val="00A65E56"/>
    <w:rsid w:val="00A66002"/>
    <w:rsid w:val="00A667BA"/>
    <w:rsid w:val="00A66AEE"/>
    <w:rsid w:val="00A66B2D"/>
    <w:rsid w:val="00A66C01"/>
    <w:rsid w:val="00A66D26"/>
    <w:rsid w:val="00A66F97"/>
    <w:rsid w:val="00A6709E"/>
    <w:rsid w:val="00A67202"/>
    <w:rsid w:val="00A67621"/>
    <w:rsid w:val="00A67BDF"/>
    <w:rsid w:val="00A70495"/>
    <w:rsid w:val="00A70F06"/>
    <w:rsid w:val="00A71016"/>
    <w:rsid w:val="00A711CE"/>
    <w:rsid w:val="00A71286"/>
    <w:rsid w:val="00A714DB"/>
    <w:rsid w:val="00A71593"/>
    <w:rsid w:val="00A71BAF"/>
    <w:rsid w:val="00A71FF7"/>
    <w:rsid w:val="00A720B5"/>
    <w:rsid w:val="00A72218"/>
    <w:rsid w:val="00A7268F"/>
    <w:rsid w:val="00A72692"/>
    <w:rsid w:val="00A72969"/>
    <w:rsid w:val="00A730D2"/>
    <w:rsid w:val="00A73245"/>
    <w:rsid w:val="00A734CA"/>
    <w:rsid w:val="00A735D1"/>
    <w:rsid w:val="00A7366A"/>
    <w:rsid w:val="00A736ED"/>
    <w:rsid w:val="00A7378D"/>
    <w:rsid w:val="00A75575"/>
    <w:rsid w:val="00A75CD8"/>
    <w:rsid w:val="00A75E15"/>
    <w:rsid w:val="00A75F56"/>
    <w:rsid w:val="00A7605A"/>
    <w:rsid w:val="00A761CF"/>
    <w:rsid w:val="00A7656E"/>
    <w:rsid w:val="00A765A4"/>
    <w:rsid w:val="00A76A91"/>
    <w:rsid w:val="00A76C69"/>
    <w:rsid w:val="00A76D6A"/>
    <w:rsid w:val="00A77056"/>
    <w:rsid w:val="00A77121"/>
    <w:rsid w:val="00A77A35"/>
    <w:rsid w:val="00A801C6"/>
    <w:rsid w:val="00A80732"/>
    <w:rsid w:val="00A80A22"/>
    <w:rsid w:val="00A80ADC"/>
    <w:rsid w:val="00A8109A"/>
    <w:rsid w:val="00A81234"/>
    <w:rsid w:val="00A813D5"/>
    <w:rsid w:val="00A815B3"/>
    <w:rsid w:val="00A8160A"/>
    <w:rsid w:val="00A817BA"/>
    <w:rsid w:val="00A8214A"/>
    <w:rsid w:val="00A823FE"/>
    <w:rsid w:val="00A826A3"/>
    <w:rsid w:val="00A82F93"/>
    <w:rsid w:val="00A82FBE"/>
    <w:rsid w:val="00A8358F"/>
    <w:rsid w:val="00A835C4"/>
    <w:rsid w:val="00A838EE"/>
    <w:rsid w:val="00A83DD2"/>
    <w:rsid w:val="00A83EEF"/>
    <w:rsid w:val="00A84074"/>
    <w:rsid w:val="00A84357"/>
    <w:rsid w:val="00A844EF"/>
    <w:rsid w:val="00A846DA"/>
    <w:rsid w:val="00A84B19"/>
    <w:rsid w:val="00A84B30"/>
    <w:rsid w:val="00A84E59"/>
    <w:rsid w:val="00A855FF"/>
    <w:rsid w:val="00A857C4"/>
    <w:rsid w:val="00A858A7"/>
    <w:rsid w:val="00A85DAE"/>
    <w:rsid w:val="00A85E36"/>
    <w:rsid w:val="00A85EBA"/>
    <w:rsid w:val="00A861B1"/>
    <w:rsid w:val="00A86365"/>
    <w:rsid w:val="00A86368"/>
    <w:rsid w:val="00A86479"/>
    <w:rsid w:val="00A86DFC"/>
    <w:rsid w:val="00A86EBF"/>
    <w:rsid w:val="00A870B3"/>
    <w:rsid w:val="00A8776B"/>
    <w:rsid w:val="00A878BD"/>
    <w:rsid w:val="00A87DD3"/>
    <w:rsid w:val="00A87E7E"/>
    <w:rsid w:val="00A87ECC"/>
    <w:rsid w:val="00A87ED2"/>
    <w:rsid w:val="00A904CD"/>
    <w:rsid w:val="00A909AE"/>
    <w:rsid w:val="00A90B0A"/>
    <w:rsid w:val="00A9146E"/>
    <w:rsid w:val="00A91A3E"/>
    <w:rsid w:val="00A91DF3"/>
    <w:rsid w:val="00A91F50"/>
    <w:rsid w:val="00A92237"/>
    <w:rsid w:val="00A9243B"/>
    <w:rsid w:val="00A92A90"/>
    <w:rsid w:val="00A92AB9"/>
    <w:rsid w:val="00A930AF"/>
    <w:rsid w:val="00A939FD"/>
    <w:rsid w:val="00A93FD7"/>
    <w:rsid w:val="00A940EC"/>
    <w:rsid w:val="00A94384"/>
    <w:rsid w:val="00A943A9"/>
    <w:rsid w:val="00A94488"/>
    <w:rsid w:val="00A9468A"/>
    <w:rsid w:val="00A94E82"/>
    <w:rsid w:val="00A94F5E"/>
    <w:rsid w:val="00A953F8"/>
    <w:rsid w:val="00A9560A"/>
    <w:rsid w:val="00A9597F"/>
    <w:rsid w:val="00A95E9B"/>
    <w:rsid w:val="00A968D4"/>
    <w:rsid w:val="00A96B21"/>
    <w:rsid w:val="00A96DA8"/>
    <w:rsid w:val="00A97454"/>
    <w:rsid w:val="00A97EE0"/>
    <w:rsid w:val="00AA006A"/>
    <w:rsid w:val="00AA01D7"/>
    <w:rsid w:val="00AA0356"/>
    <w:rsid w:val="00AA0598"/>
    <w:rsid w:val="00AA0655"/>
    <w:rsid w:val="00AA06A4"/>
    <w:rsid w:val="00AA0A01"/>
    <w:rsid w:val="00AA0E63"/>
    <w:rsid w:val="00AA0FC8"/>
    <w:rsid w:val="00AA1013"/>
    <w:rsid w:val="00AA1DA4"/>
    <w:rsid w:val="00AA1EFD"/>
    <w:rsid w:val="00AA2342"/>
    <w:rsid w:val="00AA23D7"/>
    <w:rsid w:val="00AA242E"/>
    <w:rsid w:val="00AA2A0F"/>
    <w:rsid w:val="00AA2AED"/>
    <w:rsid w:val="00AA2C37"/>
    <w:rsid w:val="00AA3332"/>
    <w:rsid w:val="00AA3476"/>
    <w:rsid w:val="00AA372F"/>
    <w:rsid w:val="00AA3C9A"/>
    <w:rsid w:val="00AA3D8D"/>
    <w:rsid w:val="00AA4585"/>
    <w:rsid w:val="00AA46F0"/>
    <w:rsid w:val="00AA4FC5"/>
    <w:rsid w:val="00AA525F"/>
    <w:rsid w:val="00AA539E"/>
    <w:rsid w:val="00AA5DFC"/>
    <w:rsid w:val="00AA5E59"/>
    <w:rsid w:val="00AA6756"/>
    <w:rsid w:val="00AA76D4"/>
    <w:rsid w:val="00AA7AA7"/>
    <w:rsid w:val="00AA7E34"/>
    <w:rsid w:val="00AA7E43"/>
    <w:rsid w:val="00AB0583"/>
    <w:rsid w:val="00AB0AC3"/>
    <w:rsid w:val="00AB0EC4"/>
    <w:rsid w:val="00AB12CC"/>
    <w:rsid w:val="00AB1CF7"/>
    <w:rsid w:val="00AB1EE1"/>
    <w:rsid w:val="00AB3011"/>
    <w:rsid w:val="00AB323F"/>
    <w:rsid w:val="00AB3428"/>
    <w:rsid w:val="00AB3AE9"/>
    <w:rsid w:val="00AB3B09"/>
    <w:rsid w:val="00AB3B3F"/>
    <w:rsid w:val="00AB3C31"/>
    <w:rsid w:val="00AB3F7C"/>
    <w:rsid w:val="00AB3FD0"/>
    <w:rsid w:val="00AB417E"/>
    <w:rsid w:val="00AB44C6"/>
    <w:rsid w:val="00AB481A"/>
    <w:rsid w:val="00AB5181"/>
    <w:rsid w:val="00AB54E6"/>
    <w:rsid w:val="00AB5A1C"/>
    <w:rsid w:val="00AB5A7A"/>
    <w:rsid w:val="00AB5D1E"/>
    <w:rsid w:val="00AB5E31"/>
    <w:rsid w:val="00AB5ECA"/>
    <w:rsid w:val="00AB6304"/>
    <w:rsid w:val="00AB6345"/>
    <w:rsid w:val="00AB6631"/>
    <w:rsid w:val="00AB6B7C"/>
    <w:rsid w:val="00AB7035"/>
    <w:rsid w:val="00AB73CB"/>
    <w:rsid w:val="00AB7A4F"/>
    <w:rsid w:val="00AC0239"/>
    <w:rsid w:val="00AC026F"/>
    <w:rsid w:val="00AC0577"/>
    <w:rsid w:val="00AC0B19"/>
    <w:rsid w:val="00AC0B79"/>
    <w:rsid w:val="00AC0BE5"/>
    <w:rsid w:val="00AC0CBA"/>
    <w:rsid w:val="00AC0F55"/>
    <w:rsid w:val="00AC10FE"/>
    <w:rsid w:val="00AC19E4"/>
    <w:rsid w:val="00AC1D6F"/>
    <w:rsid w:val="00AC1E91"/>
    <w:rsid w:val="00AC216F"/>
    <w:rsid w:val="00AC2274"/>
    <w:rsid w:val="00AC2742"/>
    <w:rsid w:val="00AC29D9"/>
    <w:rsid w:val="00AC2A44"/>
    <w:rsid w:val="00AC3386"/>
    <w:rsid w:val="00AC35BF"/>
    <w:rsid w:val="00AC38A5"/>
    <w:rsid w:val="00AC3A79"/>
    <w:rsid w:val="00AC471B"/>
    <w:rsid w:val="00AC479E"/>
    <w:rsid w:val="00AC4B93"/>
    <w:rsid w:val="00AC55DB"/>
    <w:rsid w:val="00AC5C34"/>
    <w:rsid w:val="00AC6019"/>
    <w:rsid w:val="00AC62EB"/>
    <w:rsid w:val="00AC65C1"/>
    <w:rsid w:val="00AC6EC3"/>
    <w:rsid w:val="00AC765C"/>
    <w:rsid w:val="00AC7B97"/>
    <w:rsid w:val="00AC7E00"/>
    <w:rsid w:val="00AC7E71"/>
    <w:rsid w:val="00AC7F18"/>
    <w:rsid w:val="00AD0360"/>
    <w:rsid w:val="00AD059B"/>
    <w:rsid w:val="00AD0695"/>
    <w:rsid w:val="00AD0C33"/>
    <w:rsid w:val="00AD0C95"/>
    <w:rsid w:val="00AD0CC1"/>
    <w:rsid w:val="00AD0E67"/>
    <w:rsid w:val="00AD10A8"/>
    <w:rsid w:val="00AD1342"/>
    <w:rsid w:val="00AD1590"/>
    <w:rsid w:val="00AD15D8"/>
    <w:rsid w:val="00AD1E4C"/>
    <w:rsid w:val="00AD223B"/>
    <w:rsid w:val="00AD22C9"/>
    <w:rsid w:val="00AD2622"/>
    <w:rsid w:val="00AD27A9"/>
    <w:rsid w:val="00AD2B2F"/>
    <w:rsid w:val="00AD2D35"/>
    <w:rsid w:val="00AD341C"/>
    <w:rsid w:val="00AD36CF"/>
    <w:rsid w:val="00AD3776"/>
    <w:rsid w:val="00AD48E1"/>
    <w:rsid w:val="00AD4CA6"/>
    <w:rsid w:val="00AD4DB7"/>
    <w:rsid w:val="00AD50E4"/>
    <w:rsid w:val="00AD5423"/>
    <w:rsid w:val="00AD5543"/>
    <w:rsid w:val="00AD555B"/>
    <w:rsid w:val="00AD5843"/>
    <w:rsid w:val="00AD5BA9"/>
    <w:rsid w:val="00AD5D18"/>
    <w:rsid w:val="00AD638D"/>
    <w:rsid w:val="00AD648F"/>
    <w:rsid w:val="00AD66D7"/>
    <w:rsid w:val="00AD66FA"/>
    <w:rsid w:val="00AD6C1E"/>
    <w:rsid w:val="00AD6C80"/>
    <w:rsid w:val="00AD6E32"/>
    <w:rsid w:val="00AD7046"/>
    <w:rsid w:val="00AD7076"/>
    <w:rsid w:val="00AD707A"/>
    <w:rsid w:val="00AD707E"/>
    <w:rsid w:val="00AD7121"/>
    <w:rsid w:val="00AD74F6"/>
    <w:rsid w:val="00AD765D"/>
    <w:rsid w:val="00AD7800"/>
    <w:rsid w:val="00AD7A0C"/>
    <w:rsid w:val="00AD7A81"/>
    <w:rsid w:val="00AD7BC5"/>
    <w:rsid w:val="00AD7CF1"/>
    <w:rsid w:val="00AD7D41"/>
    <w:rsid w:val="00AD7D4D"/>
    <w:rsid w:val="00AD7D51"/>
    <w:rsid w:val="00AE0169"/>
    <w:rsid w:val="00AE0594"/>
    <w:rsid w:val="00AE0EDB"/>
    <w:rsid w:val="00AE119A"/>
    <w:rsid w:val="00AE175F"/>
    <w:rsid w:val="00AE1A52"/>
    <w:rsid w:val="00AE1BF2"/>
    <w:rsid w:val="00AE2021"/>
    <w:rsid w:val="00AE204D"/>
    <w:rsid w:val="00AE22A2"/>
    <w:rsid w:val="00AE2516"/>
    <w:rsid w:val="00AE280E"/>
    <w:rsid w:val="00AE28EE"/>
    <w:rsid w:val="00AE2A67"/>
    <w:rsid w:val="00AE2B16"/>
    <w:rsid w:val="00AE2BBA"/>
    <w:rsid w:val="00AE324E"/>
    <w:rsid w:val="00AE33DE"/>
    <w:rsid w:val="00AE3A2F"/>
    <w:rsid w:val="00AE3CD4"/>
    <w:rsid w:val="00AE402F"/>
    <w:rsid w:val="00AE4228"/>
    <w:rsid w:val="00AE4624"/>
    <w:rsid w:val="00AE4D6C"/>
    <w:rsid w:val="00AE50EB"/>
    <w:rsid w:val="00AE5945"/>
    <w:rsid w:val="00AE6432"/>
    <w:rsid w:val="00AE6847"/>
    <w:rsid w:val="00AE6A8B"/>
    <w:rsid w:val="00AE6DA5"/>
    <w:rsid w:val="00AE6E3D"/>
    <w:rsid w:val="00AE6E94"/>
    <w:rsid w:val="00AE74F6"/>
    <w:rsid w:val="00AE77FF"/>
    <w:rsid w:val="00AF0299"/>
    <w:rsid w:val="00AF0716"/>
    <w:rsid w:val="00AF083F"/>
    <w:rsid w:val="00AF0B12"/>
    <w:rsid w:val="00AF0D8C"/>
    <w:rsid w:val="00AF0E7D"/>
    <w:rsid w:val="00AF1C6D"/>
    <w:rsid w:val="00AF1DE6"/>
    <w:rsid w:val="00AF2155"/>
    <w:rsid w:val="00AF2192"/>
    <w:rsid w:val="00AF2477"/>
    <w:rsid w:val="00AF2896"/>
    <w:rsid w:val="00AF2BC6"/>
    <w:rsid w:val="00AF2BEA"/>
    <w:rsid w:val="00AF2F88"/>
    <w:rsid w:val="00AF31F1"/>
    <w:rsid w:val="00AF34DC"/>
    <w:rsid w:val="00AF34F3"/>
    <w:rsid w:val="00AF371D"/>
    <w:rsid w:val="00AF3935"/>
    <w:rsid w:val="00AF3DD3"/>
    <w:rsid w:val="00AF3EED"/>
    <w:rsid w:val="00AF457E"/>
    <w:rsid w:val="00AF45D1"/>
    <w:rsid w:val="00AF49DF"/>
    <w:rsid w:val="00AF4C74"/>
    <w:rsid w:val="00AF4D6F"/>
    <w:rsid w:val="00AF4EAD"/>
    <w:rsid w:val="00AF5199"/>
    <w:rsid w:val="00AF51A8"/>
    <w:rsid w:val="00AF5400"/>
    <w:rsid w:val="00AF55F8"/>
    <w:rsid w:val="00AF669D"/>
    <w:rsid w:val="00AF6959"/>
    <w:rsid w:val="00AF6966"/>
    <w:rsid w:val="00AF6BBD"/>
    <w:rsid w:val="00AF6E8E"/>
    <w:rsid w:val="00AF725A"/>
    <w:rsid w:val="00AF727B"/>
    <w:rsid w:val="00AF75D8"/>
    <w:rsid w:val="00B003C0"/>
    <w:rsid w:val="00B008D6"/>
    <w:rsid w:val="00B00A0F"/>
    <w:rsid w:val="00B00A20"/>
    <w:rsid w:val="00B01083"/>
    <w:rsid w:val="00B01506"/>
    <w:rsid w:val="00B01E7D"/>
    <w:rsid w:val="00B01E91"/>
    <w:rsid w:val="00B022F5"/>
    <w:rsid w:val="00B02359"/>
    <w:rsid w:val="00B023C2"/>
    <w:rsid w:val="00B0274B"/>
    <w:rsid w:val="00B02C11"/>
    <w:rsid w:val="00B02FF0"/>
    <w:rsid w:val="00B032BC"/>
    <w:rsid w:val="00B03632"/>
    <w:rsid w:val="00B03A62"/>
    <w:rsid w:val="00B03ED1"/>
    <w:rsid w:val="00B043BE"/>
    <w:rsid w:val="00B04B6A"/>
    <w:rsid w:val="00B04CF0"/>
    <w:rsid w:val="00B05221"/>
    <w:rsid w:val="00B053AE"/>
    <w:rsid w:val="00B05D44"/>
    <w:rsid w:val="00B05F68"/>
    <w:rsid w:val="00B06063"/>
    <w:rsid w:val="00B06374"/>
    <w:rsid w:val="00B063FC"/>
    <w:rsid w:val="00B07068"/>
    <w:rsid w:val="00B07124"/>
    <w:rsid w:val="00B07164"/>
    <w:rsid w:val="00B0727F"/>
    <w:rsid w:val="00B076E6"/>
    <w:rsid w:val="00B077B9"/>
    <w:rsid w:val="00B10726"/>
    <w:rsid w:val="00B10879"/>
    <w:rsid w:val="00B10C7F"/>
    <w:rsid w:val="00B10EEE"/>
    <w:rsid w:val="00B10F76"/>
    <w:rsid w:val="00B1120E"/>
    <w:rsid w:val="00B1162B"/>
    <w:rsid w:val="00B11646"/>
    <w:rsid w:val="00B11D1D"/>
    <w:rsid w:val="00B11DB2"/>
    <w:rsid w:val="00B120EA"/>
    <w:rsid w:val="00B122AD"/>
    <w:rsid w:val="00B12500"/>
    <w:rsid w:val="00B125B2"/>
    <w:rsid w:val="00B126A1"/>
    <w:rsid w:val="00B128A2"/>
    <w:rsid w:val="00B12A68"/>
    <w:rsid w:val="00B12D91"/>
    <w:rsid w:val="00B13055"/>
    <w:rsid w:val="00B13068"/>
    <w:rsid w:val="00B131A7"/>
    <w:rsid w:val="00B134AE"/>
    <w:rsid w:val="00B13658"/>
    <w:rsid w:val="00B136A7"/>
    <w:rsid w:val="00B13BC6"/>
    <w:rsid w:val="00B13C84"/>
    <w:rsid w:val="00B1469F"/>
    <w:rsid w:val="00B1495E"/>
    <w:rsid w:val="00B14B5B"/>
    <w:rsid w:val="00B14E55"/>
    <w:rsid w:val="00B15354"/>
    <w:rsid w:val="00B154E1"/>
    <w:rsid w:val="00B15815"/>
    <w:rsid w:val="00B15BDB"/>
    <w:rsid w:val="00B16842"/>
    <w:rsid w:val="00B16D6B"/>
    <w:rsid w:val="00B175B4"/>
    <w:rsid w:val="00B17B74"/>
    <w:rsid w:val="00B21188"/>
    <w:rsid w:val="00B211AA"/>
    <w:rsid w:val="00B21260"/>
    <w:rsid w:val="00B21479"/>
    <w:rsid w:val="00B214E9"/>
    <w:rsid w:val="00B21522"/>
    <w:rsid w:val="00B21666"/>
    <w:rsid w:val="00B2172A"/>
    <w:rsid w:val="00B21784"/>
    <w:rsid w:val="00B2180E"/>
    <w:rsid w:val="00B22ABA"/>
    <w:rsid w:val="00B22AF6"/>
    <w:rsid w:val="00B23464"/>
    <w:rsid w:val="00B234B4"/>
    <w:rsid w:val="00B23580"/>
    <w:rsid w:val="00B23685"/>
    <w:rsid w:val="00B23884"/>
    <w:rsid w:val="00B23EE2"/>
    <w:rsid w:val="00B242D2"/>
    <w:rsid w:val="00B244C2"/>
    <w:rsid w:val="00B2464F"/>
    <w:rsid w:val="00B24CA6"/>
    <w:rsid w:val="00B24D83"/>
    <w:rsid w:val="00B250BE"/>
    <w:rsid w:val="00B2524C"/>
    <w:rsid w:val="00B259AC"/>
    <w:rsid w:val="00B26893"/>
    <w:rsid w:val="00B26EE8"/>
    <w:rsid w:val="00B27677"/>
    <w:rsid w:val="00B2781B"/>
    <w:rsid w:val="00B278B5"/>
    <w:rsid w:val="00B279F5"/>
    <w:rsid w:val="00B27AA5"/>
    <w:rsid w:val="00B27D0E"/>
    <w:rsid w:val="00B30015"/>
    <w:rsid w:val="00B302E8"/>
    <w:rsid w:val="00B30919"/>
    <w:rsid w:val="00B309B4"/>
    <w:rsid w:val="00B30B04"/>
    <w:rsid w:val="00B30BB9"/>
    <w:rsid w:val="00B30C4A"/>
    <w:rsid w:val="00B30F40"/>
    <w:rsid w:val="00B30F9D"/>
    <w:rsid w:val="00B3150A"/>
    <w:rsid w:val="00B3172D"/>
    <w:rsid w:val="00B3181C"/>
    <w:rsid w:val="00B31C65"/>
    <w:rsid w:val="00B31CEB"/>
    <w:rsid w:val="00B31F3C"/>
    <w:rsid w:val="00B320DA"/>
    <w:rsid w:val="00B321A2"/>
    <w:rsid w:val="00B3250B"/>
    <w:rsid w:val="00B326FC"/>
    <w:rsid w:val="00B32706"/>
    <w:rsid w:val="00B32B5B"/>
    <w:rsid w:val="00B334FF"/>
    <w:rsid w:val="00B33830"/>
    <w:rsid w:val="00B33AD5"/>
    <w:rsid w:val="00B33F3E"/>
    <w:rsid w:val="00B33FCB"/>
    <w:rsid w:val="00B341AB"/>
    <w:rsid w:val="00B3467E"/>
    <w:rsid w:val="00B34D94"/>
    <w:rsid w:val="00B3518E"/>
    <w:rsid w:val="00B3518F"/>
    <w:rsid w:val="00B35783"/>
    <w:rsid w:val="00B35D5B"/>
    <w:rsid w:val="00B361B1"/>
    <w:rsid w:val="00B362DF"/>
    <w:rsid w:val="00B3633E"/>
    <w:rsid w:val="00B36433"/>
    <w:rsid w:val="00B364F7"/>
    <w:rsid w:val="00B36A1E"/>
    <w:rsid w:val="00B36EBB"/>
    <w:rsid w:val="00B36FD3"/>
    <w:rsid w:val="00B37615"/>
    <w:rsid w:val="00B37AAF"/>
    <w:rsid w:val="00B37C49"/>
    <w:rsid w:val="00B37D4A"/>
    <w:rsid w:val="00B4051B"/>
    <w:rsid w:val="00B40677"/>
    <w:rsid w:val="00B40D0D"/>
    <w:rsid w:val="00B40F51"/>
    <w:rsid w:val="00B41287"/>
    <w:rsid w:val="00B4185C"/>
    <w:rsid w:val="00B419A5"/>
    <w:rsid w:val="00B419C5"/>
    <w:rsid w:val="00B41A8A"/>
    <w:rsid w:val="00B41A93"/>
    <w:rsid w:val="00B42679"/>
    <w:rsid w:val="00B428A9"/>
    <w:rsid w:val="00B42A1E"/>
    <w:rsid w:val="00B42B61"/>
    <w:rsid w:val="00B433C5"/>
    <w:rsid w:val="00B43C29"/>
    <w:rsid w:val="00B43C8B"/>
    <w:rsid w:val="00B43D76"/>
    <w:rsid w:val="00B4463D"/>
    <w:rsid w:val="00B44C59"/>
    <w:rsid w:val="00B44CBC"/>
    <w:rsid w:val="00B45497"/>
    <w:rsid w:val="00B4581E"/>
    <w:rsid w:val="00B45822"/>
    <w:rsid w:val="00B4644A"/>
    <w:rsid w:val="00B46B5C"/>
    <w:rsid w:val="00B46BD6"/>
    <w:rsid w:val="00B46DEF"/>
    <w:rsid w:val="00B47516"/>
    <w:rsid w:val="00B47E6F"/>
    <w:rsid w:val="00B502FA"/>
    <w:rsid w:val="00B51412"/>
    <w:rsid w:val="00B5239D"/>
    <w:rsid w:val="00B5247A"/>
    <w:rsid w:val="00B52529"/>
    <w:rsid w:val="00B526AF"/>
    <w:rsid w:val="00B52750"/>
    <w:rsid w:val="00B52A6F"/>
    <w:rsid w:val="00B52F40"/>
    <w:rsid w:val="00B52F8C"/>
    <w:rsid w:val="00B53045"/>
    <w:rsid w:val="00B53193"/>
    <w:rsid w:val="00B53615"/>
    <w:rsid w:val="00B53A6A"/>
    <w:rsid w:val="00B54867"/>
    <w:rsid w:val="00B549A2"/>
    <w:rsid w:val="00B55317"/>
    <w:rsid w:val="00B55535"/>
    <w:rsid w:val="00B55836"/>
    <w:rsid w:val="00B55951"/>
    <w:rsid w:val="00B56881"/>
    <w:rsid w:val="00B56A07"/>
    <w:rsid w:val="00B57001"/>
    <w:rsid w:val="00B570B6"/>
    <w:rsid w:val="00B577E7"/>
    <w:rsid w:val="00B57F0F"/>
    <w:rsid w:val="00B57F6A"/>
    <w:rsid w:val="00B604B8"/>
    <w:rsid w:val="00B60BFC"/>
    <w:rsid w:val="00B61292"/>
    <w:rsid w:val="00B613E8"/>
    <w:rsid w:val="00B619DC"/>
    <w:rsid w:val="00B61CD5"/>
    <w:rsid w:val="00B61DD3"/>
    <w:rsid w:val="00B62042"/>
    <w:rsid w:val="00B62635"/>
    <w:rsid w:val="00B62A5B"/>
    <w:rsid w:val="00B62B4D"/>
    <w:rsid w:val="00B62D9E"/>
    <w:rsid w:val="00B6357E"/>
    <w:rsid w:val="00B63EE9"/>
    <w:rsid w:val="00B643DD"/>
    <w:rsid w:val="00B644C6"/>
    <w:rsid w:val="00B645CB"/>
    <w:rsid w:val="00B646AF"/>
    <w:rsid w:val="00B64D0C"/>
    <w:rsid w:val="00B64EC2"/>
    <w:rsid w:val="00B64F0C"/>
    <w:rsid w:val="00B64F23"/>
    <w:rsid w:val="00B64FB7"/>
    <w:rsid w:val="00B6525B"/>
    <w:rsid w:val="00B657FE"/>
    <w:rsid w:val="00B66B77"/>
    <w:rsid w:val="00B66CEA"/>
    <w:rsid w:val="00B66F57"/>
    <w:rsid w:val="00B67273"/>
    <w:rsid w:val="00B67736"/>
    <w:rsid w:val="00B67817"/>
    <w:rsid w:val="00B67860"/>
    <w:rsid w:val="00B67ABD"/>
    <w:rsid w:val="00B67B08"/>
    <w:rsid w:val="00B703B9"/>
    <w:rsid w:val="00B704C7"/>
    <w:rsid w:val="00B7082D"/>
    <w:rsid w:val="00B70CEF"/>
    <w:rsid w:val="00B70DAC"/>
    <w:rsid w:val="00B70EF7"/>
    <w:rsid w:val="00B71093"/>
    <w:rsid w:val="00B71247"/>
    <w:rsid w:val="00B714A0"/>
    <w:rsid w:val="00B71620"/>
    <w:rsid w:val="00B717C6"/>
    <w:rsid w:val="00B72065"/>
    <w:rsid w:val="00B725E6"/>
    <w:rsid w:val="00B728BF"/>
    <w:rsid w:val="00B728D9"/>
    <w:rsid w:val="00B72CEB"/>
    <w:rsid w:val="00B7309E"/>
    <w:rsid w:val="00B73547"/>
    <w:rsid w:val="00B735E0"/>
    <w:rsid w:val="00B7388D"/>
    <w:rsid w:val="00B73B9C"/>
    <w:rsid w:val="00B73E67"/>
    <w:rsid w:val="00B73F1C"/>
    <w:rsid w:val="00B7475D"/>
    <w:rsid w:val="00B7476D"/>
    <w:rsid w:val="00B748A7"/>
    <w:rsid w:val="00B74A3F"/>
    <w:rsid w:val="00B74CE6"/>
    <w:rsid w:val="00B74D05"/>
    <w:rsid w:val="00B74E0C"/>
    <w:rsid w:val="00B75020"/>
    <w:rsid w:val="00B75726"/>
    <w:rsid w:val="00B7572A"/>
    <w:rsid w:val="00B765F6"/>
    <w:rsid w:val="00B768CD"/>
    <w:rsid w:val="00B76C81"/>
    <w:rsid w:val="00B76CFE"/>
    <w:rsid w:val="00B76F47"/>
    <w:rsid w:val="00B76FFF"/>
    <w:rsid w:val="00B77105"/>
    <w:rsid w:val="00B775F2"/>
    <w:rsid w:val="00B7769C"/>
    <w:rsid w:val="00B77FF6"/>
    <w:rsid w:val="00B801E8"/>
    <w:rsid w:val="00B8020D"/>
    <w:rsid w:val="00B8036B"/>
    <w:rsid w:val="00B80585"/>
    <w:rsid w:val="00B805D5"/>
    <w:rsid w:val="00B80E18"/>
    <w:rsid w:val="00B81027"/>
    <w:rsid w:val="00B8107D"/>
    <w:rsid w:val="00B811FF"/>
    <w:rsid w:val="00B81324"/>
    <w:rsid w:val="00B813FA"/>
    <w:rsid w:val="00B81774"/>
    <w:rsid w:val="00B81C69"/>
    <w:rsid w:val="00B82282"/>
    <w:rsid w:val="00B82605"/>
    <w:rsid w:val="00B82DF6"/>
    <w:rsid w:val="00B8313D"/>
    <w:rsid w:val="00B8325D"/>
    <w:rsid w:val="00B83385"/>
    <w:rsid w:val="00B83A41"/>
    <w:rsid w:val="00B83A4F"/>
    <w:rsid w:val="00B83BA2"/>
    <w:rsid w:val="00B83FF6"/>
    <w:rsid w:val="00B8421F"/>
    <w:rsid w:val="00B84A9C"/>
    <w:rsid w:val="00B84B9D"/>
    <w:rsid w:val="00B84D91"/>
    <w:rsid w:val="00B850C8"/>
    <w:rsid w:val="00B852FE"/>
    <w:rsid w:val="00B85355"/>
    <w:rsid w:val="00B8591B"/>
    <w:rsid w:val="00B85CC7"/>
    <w:rsid w:val="00B85FE6"/>
    <w:rsid w:val="00B8600B"/>
    <w:rsid w:val="00B8611B"/>
    <w:rsid w:val="00B86122"/>
    <w:rsid w:val="00B8621C"/>
    <w:rsid w:val="00B86AF7"/>
    <w:rsid w:val="00B86E3B"/>
    <w:rsid w:val="00B86FB6"/>
    <w:rsid w:val="00B86FF7"/>
    <w:rsid w:val="00B872CD"/>
    <w:rsid w:val="00B87568"/>
    <w:rsid w:val="00B8765F"/>
    <w:rsid w:val="00B87C0B"/>
    <w:rsid w:val="00B90363"/>
    <w:rsid w:val="00B90853"/>
    <w:rsid w:val="00B90997"/>
    <w:rsid w:val="00B90FEC"/>
    <w:rsid w:val="00B913F3"/>
    <w:rsid w:val="00B915CC"/>
    <w:rsid w:val="00B91A30"/>
    <w:rsid w:val="00B91A3F"/>
    <w:rsid w:val="00B91BDB"/>
    <w:rsid w:val="00B91C97"/>
    <w:rsid w:val="00B91E0D"/>
    <w:rsid w:val="00B9226C"/>
    <w:rsid w:val="00B92764"/>
    <w:rsid w:val="00B92D0A"/>
    <w:rsid w:val="00B93296"/>
    <w:rsid w:val="00B9358D"/>
    <w:rsid w:val="00B935CE"/>
    <w:rsid w:val="00B93BC3"/>
    <w:rsid w:val="00B94169"/>
    <w:rsid w:val="00B941CF"/>
    <w:rsid w:val="00B94650"/>
    <w:rsid w:val="00B9492A"/>
    <w:rsid w:val="00B94995"/>
    <w:rsid w:val="00B94A93"/>
    <w:rsid w:val="00B94CA9"/>
    <w:rsid w:val="00B94ECB"/>
    <w:rsid w:val="00B94F0D"/>
    <w:rsid w:val="00B950AD"/>
    <w:rsid w:val="00B95C25"/>
    <w:rsid w:val="00B95F22"/>
    <w:rsid w:val="00B962B1"/>
    <w:rsid w:val="00B9673B"/>
    <w:rsid w:val="00B96A6A"/>
    <w:rsid w:val="00B96BA8"/>
    <w:rsid w:val="00B96F84"/>
    <w:rsid w:val="00B9EDBA"/>
    <w:rsid w:val="00BA02E3"/>
    <w:rsid w:val="00BA0418"/>
    <w:rsid w:val="00BA06C1"/>
    <w:rsid w:val="00BA0904"/>
    <w:rsid w:val="00BA0B7F"/>
    <w:rsid w:val="00BA0BDC"/>
    <w:rsid w:val="00BA0C69"/>
    <w:rsid w:val="00BA0DC5"/>
    <w:rsid w:val="00BA12AE"/>
    <w:rsid w:val="00BA17DA"/>
    <w:rsid w:val="00BA1C97"/>
    <w:rsid w:val="00BA1F57"/>
    <w:rsid w:val="00BA2223"/>
    <w:rsid w:val="00BA23D3"/>
    <w:rsid w:val="00BA24C8"/>
    <w:rsid w:val="00BA256D"/>
    <w:rsid w:val="00BA2DE6"/>
    <w:rsid w:val="00BA3327"/>
    <w:rsid w:val="00BA34BC"/>
    <w:rsid w:val="00BA369D"/>
    <w:rsid w:val="00BA3910"/>
    <w:rsid w:val="00BA3919"/>
    <w:rsid w:val="00BA3A19"/>
    <w:rsid w:val="00BA3ADF"/>
    <w:rsid w:val="00BA3EC8"/>
    <w:rsid w:val="00BA3EDA"/>
    <w:rsid w:val="00BA3F94"/>
    <w:rsid w:val="00BA400A"/>
    <w:rsid w:val="00BA49A6"/>
    <w:rsid w:val="00BA4C21"/>
    <w:rsid w:val="00BA55E2"/>
    <w:rsid w:val="00BA5632"/>
    <w:rsid w:val="00BA5745"/>
    <w:rsid w:val="00BA5E54"/>
    <w:rsid w:val="00BA6008"/>
    <w:rsid w:val="00BA6045"/>
    <w:rsid w:val="00BA6077"/>
    <w:rsid w:val="00BA6371"/>
    <w:rsid w:val="00BA6594"/>
    <w:rsid w:val="00BA65FE"/>
    <w:rsid w:val="00BA6A75"/>
    <w:rsid w:val="00BA706A"/>
    <w:rsid w:val="00BA7332"/>
    <w:rsid w:val="00BA735A"/>
    <w:rsid w:val="00BA739C"/>
    <w:rsid w:val="00BA75B5"/>
    <w:rsid w:val="00BA7692"/>
    <w:rsid w:val="00BA7963"/>
    <w:rsid w:val="00BA7D0D"/>
    <w:rsid w:val="00BA7FDD"/>
    <w:rsid w:val="00BB0265"/>
    <w:rsid w:val="00BB0453"/>
    <w:rsid w:val="00BB0643"/>
    <w:rsid w:val="00BB1009"/>
    <w:rsid w:val="00BB12C5"/>
    <w:rsid w:val="00BB16C7"/>
    <w:rsid w:val="00BB17C9"/>
    <w:rsid w:val="00BB18FB"/>
    <w:rsid w:val="00BB20C3"/>
    <w:rsid w:val="00BB2400"/>
    <w:rsid w:val="00BB25B1"/>
    <w:rsid w:val="00BB25D0"/>
    <w:rsid w:val="00BB27D8"/>
    <w:rsid w:val="00BB2898"/>
    <w:rsid w:val="00BB2B82"/>
    <w:rsid w:val="00BB2C48"/>
    <w:rsid w:val="00BB2ECD"/>
    <w:rsid w:val="00BB319C"/>
    <w:rsid w:val="00BB34FF"/>
    <w:rsid w:val="00BB3847"/>
    <w:rsid w:val="00BB3A85"/>
    <w:rsid w:val="00BB3B08"/>
    <w:rsid w:val="00BB3FCF"/>
    <w:rsid w:val="00BB4559"/>
    <w:rsid w:val="00BB45F1"/>
    <w:rsid w:val="00BB4758"/>
    <w:rsid w:val="00BB4A3C"/>
    <w:rsid w:val="00BB4BC4"/>
    <w:rsid w:val="00BB510E"/>
    <w:rsid w:val="00BB584E"/>
    <w:rsid w:val="00BB596A"/>
    <w:rsid w:val="00BB5A42"/>
    <w:rsid w:val="00BB5D19"/>
    <w:rsid w:val="00BB5DDD"/>
    <w:rsid w:val="00BB657F"/>
    <w:rsid w:val="00BB6738"/>
    <w:rsid w:val="00BB6ACC"/>
    <w:rsid w:val="00BB6E9E"/>
    <w:rsid w:val="00BB6FBD"/>
    <w:rsid w:val="00BB78D6"/>
    <w:rsid w:val="00BB79F7"/>
    <w:rsid w:val="00BB7B11"/>
    <w:rsid w:val="00BB7B64"/>
    <w:rsid w:val="00BB7B98"/>
    <w:rsid w:val="00BB7DBA"/>
    <w:rsid w:val="00BC037D"/>
    <w:rsid w:val="00BC04FE"/>
    <w:rsid w:val="00BC0A2C"/>
    <w:rsid w:val="00BC0C6A"/>
    <w:rsid w:val="00BC0E5F"/>
    <w:rsid w:val="00BC0E9B"/>
    <w:rsid w:val="00BC11EB"/>
    <w:rsid w:val="00BC14D1"/>
    <w:rsid w:val="00BC1501"/>
    <w:rsid w:val="00BC15CC"/>
    <w:rsid w:val="00BC19F9"/>
    <w:rsid w:val="00BC1E03"/>
    <w:rsid w:val="00BC24D7"/>
    <w:rsid w:val="00BC266E"/>
    <w:rsid w:val="00BC283D"/>
    <w:rsid w:val="00BC296C"/>
    <w:rsid w:val="00BC29AE"/>
    <w:rsid w:val="00BC2FFA"/>
    <w:rsid w:val="00BC3408"/>
    <w:rsid w:val="00BC347E"/>
    <w:rsid w:val="00BC36EA"/>
    <w:rsid w:val="00BC3C2A"/>
    <w:rsid w:val="00BC3D3A"/>
    <w:rsid w:val="00BC3E47"/>
    <w:rsid w:val="00BC41B1"/>
    <w:rsid w:val="00BC48D1"/>
    <w:rsid w:val="00BC4BC7"/>
    <w:rsid w:val="00BC4BF2"/>
    <w:rsid w:val="00BC4D07"/>
    <w:rsid w:val="00BC4DEA"/>
    <w:rsid w:val="00BC4F99"/>
    <w:rsid w:val="00BC515A"/>
    <w:rsid w:val="00BC51D3"/>
    <w:rsid w:val="00BC5CAF"/>
    <w:rsid w:val="00BC5E2F"/>
    <w:rsid w:val="00BC661F"/>
    <w:rsid w:val="00BC6A2E"/>
    <w:rsid w:val="00BC705A"/>
    <w:rsid w:val="00BC71F1"/>
    <w:rsid w:val="00BC7301"/>
    <w:rsid w:val="00BC754D"/>
    <w:rsid w:val="00BC7A93"/>
    <w:rsid w:val="00BC7B75"/>
    <w:rsid w:val="00BC7D35"/>
    <w:rsid w:val="00BD01F0"/>
    <w:rsid w:val="00BD06A1"/>
    <w:rsid w:val="00BD0811"/>
    <w:rsid w:val="00BD0AB8"/>
    <w:rsid w:val="00BD0BAE"/>
    <w:rsid w:val="00BD1244"/>
    <w:rsid w:val="00BD1645"/>
    <w:rsid w:val="00BD1676"/>
    <w:rsid w:val="00BD1A91"/>
    <w:rsid w:val="00BD1B0A"/>
    <w:rsid w:val="00BD1B91"/>
    <w:rsid w:val="00BD1BBB"/>
    <w:rsid w:val="00BD1BCC"/>
    <w:rsid w:val="00BD1BF7"/>
    <w:rsid w:val="00BD1C70"/>
    <w:rsid w:val="00BD220C"/>
    <w:rsid w:val="00BD26A0"/>
    <w:rsid w:val="00BD2985"/>
    <w:rsid w:val="00BD2B2C"/>
    <w:rsid w:val="00BD2C6A"/>
    <w:rsid w:val="00BD2D5B"/>
    <w:rsid w:val="00BD3115"/>
    <w:rsid w:val="00BD365D"/>
    <w:rsid w:val="00BD3C23"/>
    <w:rsid w:val="00BD3F2A"/>
    <w:rsid w:val="00BD4449"/>
    <w:rsid w:val="00BD496E"/>
    <w:rsid w:val="00BD4D6E"/>
    <w:rsid w:val="00BD4E8B"/>
    <w:rsid w:val="00BD5C5E"/>
    <w:rsid w:val="00BD5DB4"/>
    <w:rsid w:val="00BD6214"/>
    <w:rsid w:val="00BD682B"/>
    <w:rsid w:val="00BD6B14"/>
    <w:rsid w:val="00BD6E6F"/>
    <w:rsid w:val="00BD6F50"/>
    <w:rsid w:val="00BD73AB"/>
    <w:rsid w:val="00BD74FA"/>
    <w:rsid w:val="00BD7A99"/>
    <w:rsid w:val="00BE00F1"/>
    <w:rsid w:val="00BE05D9"/>
    <w:rsid w:val="00BE1571"/>
    <w:rsid w:val="00BE1995"/>
    <w:rsid w:val="00BE1A08"/>
    <w:rsid w:val="00BE1C86"/>
    <w:rsid w:val="00BE1DBA"/>
    <w:rsid w:val="00BE1FB9"/>
    <w:rsid w:val="00BE2288"/>
    <w:rsid w:val="00BE24BF"/>
    <w:rsid w:val="00BE2B61"/>
    <w:rsid w:val="00BE2E3B"/>
    <w:rsid w:val="00BE2FF3"/>
    <w:rsid w:val="00BE3359"/>
    <w:rsid w:val="00BE35A2"/>
    <w:rsid w:val="00BE360A"/>
    <w:rsid w:val="00BE36E0"/>
    <w:rsid w:val="00BE3E69"/>
    <w:rsid w:val="00BE44F1"/>
    <w:rsid w:val="00BE4B92"/>
    <w:rsid w:val="00BE537A"/>
    <w:rsid w:val="00BE53CC"/>
    <w:rsid w:val="00BE5718"/>
    <w:rsid w:val="00BE5A6D"/>
    <w:rsid w:val="00BE5C81"/>
    <w:rsid w:val="00BE65E2"/>
    <w:rsid w:val="00BE6881"/>
    <w:rsid w:val="00BE6C06"/>
    <w:rsid w:val="00BE6E91"/>
    <w:rsid w:val="00BE74DC"/>
    <w:rsid w:val="00BE7D7B"/>
    <w:rsid w:val="00BE7E39"/>
    <w:rsid w:val="00BF07DB"/>
    <w:rsid w:val="00BF07E2"/>
    <w:rsid w:val="00BF0F18"/>
    <w:rsid w:val="00BF119E"/>
    <w:rsid w:val="00BF1458"/>
    <w:rsid w:val="00BF150F"/>
    <w:rsid w:val="00BF1BAB"/>
    <w:rsid w:val="00BF1F6B"/>
    <w:rsid w:val="00BF272F"/>
    <w:rsid w:val="00BF27D2"/>
    <w:rsid w:val="00BF298E"/>
    <w:rsid w:val="00BF2B06"/>
    <w:rsid w:val="00BF2BEC"/>
    <w:rsid w:val="00BF2CA2"/>
    <w:rsid w:val="00BF2F47"/>
    <w:rsid w:val="00BF3028"/>
    <w:rsid w:val="00BF30C6"/>
    <w:rsid w:val="00BF334D"/>
    <w:rsid w:val="00BF3470"/>
    <w:rsid w:val="00BF3521"/>
    <w:rsid w:val="00BF356B"/>
    <w:rsid w:val="00BF3848"/>
    <w:rsid w:val="00BF387C"/>
    <w:rsid w:val="00BF391D"/>
    <w:rsid w:val="00BF392D"/>
    <w:rsid w:val="00BF46FA"/>
    <w:rsid w:val="00BF4D79"/>
    <w:rsid w:val="00BF5300"/>
    <w:rsid w:val="00BF5323"/>
    <w:rsid w:val="00BF558A"/>
    <w:rsid w:val="00BF5597"/>
    <w:rsid w:val="00BF585F"/>
    <w:rsid w:val="00BF5C9D"/>
    <w:rsid w:val="00BF5D16"/>
    <w:rsid w:val="00BF5F44"/>
    <w:rsid w:val="00BF6A08"/>
    <w:rsid w:val="00BF741B"/>
    <w:rsid w:val="00BF7559"/>
    <w:rsid w:val="00BF75F0"/>
    <w:rsid w:val="00BF77E6"/>
    <w:rsid w:val="00BF7DA3"/>
    <w:rsid w:val="00C0017A"/>
    <w:rsid w:val="00C00B6F"/>
    <w:rsid w:val="00C018C5"/>
    <w:rsid w:val="00C01C03"/>
    <w:rsid w:val="00C01C9E"/>
    <w:rsid w:val="00C01FCE"/>
    <w:rsid w:val="00C02089"/>
    <w:rsid w:val="00C021C4"/>
    <w:rsid w:val="00C02A1E"/>
    <w:rsid w:val="00C02C3B"/>
    <w:rsid w:val="00C02F8D"/>
    <w:rsid w:val="00C032EC"/>
    <w:rsid w:val="00C0331B"/>
    <w:rsid w:val="00C03854"/>
    <w:rsid w:val="00C03DD2"/>
    <w:rsid w:val="00C03E6C"/>
    <w:rsid w:val="00C040B1"/>
    <w:rsid w:val="00C04162"/>
    <w:rsid w:val="00C04375"/>
    <w:rsid w:val="00C0443F"/>
    <w:rsid w:val="00C048B5"/>
    <w:rsid w:val="00C04B45"/>
    <w:rsid w:val="00C0518F"/>
    <w:rsid w:val="00C0573A"/>
    <w:rsid w:val="00C05B66"/>
    <w:rsid w:val="00C05DF4"/>
    <w:rsid w:val="00C06531"/>
    <w:rsid w:val="00C0661D"/>
    <w:rsid w:val="00C06ADF"/>
    <w:rsid w:val="00C06AF0"/>
    <w:rsid w:val="00C0704A"/>
    <w:rsid w:val="00C07297"/>
    <w:rsid w:val="00C073BA"/>
    <w:rsid w:val="00C07973"/>
    <w:rsid w:val="00C07CF3"/>
    <w:rsid w:val="00C07EAC"/>
    <w:rsid w:val="00C07FA1"/>
    <w:rsid w:val="00C1075F"/>
    <w:rsid w:val="00C10876"/>
    <w:rsid w:val="00C10994"/>
    <w:rsid w:val="00C10D43"/>
    <w:rsid w:val="00C10FCA"/>
    <w:rsid w:val="00C1110D"/>
    <w:rsid w:val="00C1113A"/>
    <w:rsid w:val="00C112F0"/>
    <w:rsid w:val="00C11379"/>
    <w:rsid w:val="00C11402"/>
    <w:rsid w:val="00C118BA"/>
    <w:rsid w:val="00C11B44"/>
    <w:rsid w:val="00C121E9"/>
    <w:rsid w:val="00C131EB"/>
    <w:rsid w:val="00C1361D"/>
    <w:rsid w:val="00C13645"/>
    <w:rsid w:val="00C13756"/>
    <w:rsid w:val="00C13A34"/>
    <w:rsid w:val="00C14456"/>
    <w:rsid w:val="00C14576"/>
    <w:rsid w:val="00C147A0"/>
    <w:rsid w:val="00C14983"/>
    <w:rsid w:val="00C14A9F"/>
    <w:rsid w:val="00C14DBA"/>
    <w:rsid w:val="00C14F4D"/>
    <w:rsid w:val="00C151E3"/>
    <w:rsid w:val="00C154A1"/>
    <w:rsid w:val="00C1572B"/>
    <w:rsid w:val="00C15981"/>
    <w:rsid w:val="00C15AAF"/>
    <w:rsid w:val="00C15BC0"/>
    <w:rsid w:val="00C15D8F"/>
    <w:rsid w:val="00C160D7"/>
    <w:rsid w:val="00C16160"/>
    <w:rsid w:val="00C1649C"/>
    <w:rsid w:val="00C16860"/>
    <w:rsid w:val="00C169BC"/>
    <w:rsid w:val="00C16A14"/>
    <w:rsid w:val="00C173DC"/>
    <w:rsid w:val="00C17559"/>
    <w:rsid w:val="00C177F5"/>
    <w:rsid w:val="00C17852"/>
    <w:rsid w:val="00C17992"/>
    <w:rsid w:val="00C17AE3"/>
    <w:rsid w:val="00C17B7B"/>
    <w:rsid w:val="00C17E00"/>
    <w:rsid w:val="00C17E6F"/>
    <w:rsid w:val="00C201C6"/>
    <w:rsid w:val="00C203FD"/>
    <w:rsid w:val="00C206DA"/>
    <w:rsid w:val="00C2092A"/>
    <w:rsid w:val="00C210C1"/>
    <w:rsid w:val="00C2153A"/>
    <w:rsid w:val="00C21777"/>
    <w:rsid w:val="00C218DC"/>
    <w:rsid w:val="00C21A26"/>
    <w:rsid w:val="00C21BC0"/>
    <w:rsid w:val="00C21C6C"/>
    <w:rsid w:val="00C21D36"/>
    <w:rsid w:val="00C220F3"/>
    <w:rsid w:val="00C2228B"/>
    <w:rsid w:val="00C224D5"/>
    <w:rsid w:val="00C22855"/>
    <w:rsid w:val="00C22C61"/>
    <w:rsid w:val="00C22E04"/>
    <w:rsid w:val="00C23018"/>
    <w:rsid w:val="00C23145"/>
    <w:rsid w:val="00C23303"/>
    <w:rsid w:val="00C23585"/>
    <w:rsid w:val="00C23AC8"/>
    <w:rsid w:val="00C23C88"/>
    <w:rsid w:val="00C23CBB"/>
    <w:rsid w:val="00C23DAF"/>
    <w:rsid w:val="00C24275"/>
    <w:rsid w:val="00C245D4"/>
    <w:rsid w:val="00C24E8D"/>
    <w:rsid w:val="00C24F59"/>
    <w:rsid w:val="00C2525E"/>
    <w:rsid w:val="00C253B6"/>
    <w:rsid w:val="00C254FF"/>
    <w:rsid w:val="00C25649"/>
    <w:rsid w:val="00C25871"/>
    <w:rsid w:val="00C258A8"/>
    <w:rsid w:val="00C25BAB"/>
    <w:rsid w:val="00C25DE8"/>
    <w:rsid w:val="00C2632B"/>
    <w:rsid w:val="00C2668A"/>
    <w:rsid w:val="00C26898"/>
    <w:rsid w:val="00C26AA7"/>
    <w:rsid w:val="00C26DDB"/>
    <w:rsid w:val="00C26FB4"/>
    <w:rsid w:val="00C2776B"/>
    <w:rsid w:val="00C300CF"/>
    <w:rsid w:val="00C300F0"/>
    <w:rsid w:val="00C30366"/>
    <w:rsid w:val="00C305D9"/>
    <w:rsid w:val="00C305FE"/>
    <w:rsid w:val="00C308A5"/>
    <w:rsid w:val="00C30AEB"/>
    <w:rsid w:val="00C3183B"/>
    <w:rsid w:val="00C31BB7"/>
    <w:rsid w:val="00C31D3E"/>
    <w:rsid w:val="00C31F4D"/>
    <w:rsid w:val="00C31FF0"/>
    <w:rsid w:val="00C32044"/>
    <w:rsid w:val="00C32240"/>
    <w:rsid w:val="00C322F1"/>
    <w:rsid w:val="00C32489"/>
    <w:rsid w:val="00C326E6"/>
    <w:rsid w:val="00C32722"/>
    <w:rsid w:val="00C327BF"/>
    <w:rsid w:val="00C32924"/>
    <w:rsid w:val="00C33342"/>
    <w:rsid w:val="00C33437"/>
    <w:rsid w:val="00C3384E"/>
    <w:rsid w:val="00C33B85"/>
    <w:rsid w:val="00C33EC7"/>
    <w:rsid w:val="00C33F12"/>
    <w:rsid w:val="00C3414C"/>
    <w:rsid w:val="00C341F0"/>
    <w:rsid w:val="00C35269"/>
    <w:rsid w:val="00C357BD"/>
    <w:rsid w:val="00C35AE7"/>
    <w:rsid w:val="00C35F1F"/>
    <w:rsid w:val="00C36274"/>
    <w:rsid w:val="00C36423"/>
    <w:rsid w:val="00C3654C"/>
    <w:rsid w:val="00C369D7"/>
    <w:rsid w:val="00C36CC4"/>
    <w:rsid w:val="00C36D20"/>
    <w:rsid w:val="00C374D3"/>
    <w:rsid w:val="00C404C6"/>
    <w:rsid w:val="00C415C1"/>
    <w:rsid w:val="00C41686"/>
    <w:rsid w:val="00C41760"/>
    <w:rsid w:val="00C417B0"/>
    <w:rsid w:val="00C4193F"/>
    <w:rsid w:val="00C419D6"/>
    <w:rsid w:val="00C419E5"/>
    <w:rsid w:val="00C41A97"/>
    <w:rsid w:val="00C41C43"/>
    <w:rsid w:val="00C41E95"/>
    <w:rsid w:val="00C42084"/>
    <w:rsid w:val="00C425A7"/>
    <w:rsid w:val="00C427B2"/>
    <w:rsid w:val="00C42B3F"/>
    <w:rsid w:val="00C42F4D"/>
    <w:rsid w:val="00C43026"/>
    <w:rsid w:val="00C43E60"/>
    <w:rsid w:val="00C43E77"/>
    <w:rsid w:val="00C43F87"/>
    <w:rsid w:val="00C4418C"/>
    <w:rsid w:val="00C44231"/>
    <w:rsid w:val="00C4425A"/>
    <w:rsid w:val="00C442D2"/>
    <w:rsid w:val="00C443C5"/>
    <w:rsid w:val="00C44561"/>
    <w:rsid w:val="00C44856"/>
    <w:rsid w:val="00C44C55"/>
    <w:rsid w:val="00C44FD5"/>
    <w:rsid w:val="00C450FF"/>
    <w:rsid w:val="00C4563B"/>
    <w:rsid w:val="00C45703"/>
    <w:rsid w:val="00C45925"/>
    <w:rsid w:val="00C45B81"/>
    <w:rsid w:val="00C45BC1"/>
    <w:rsid w:val="00C45CCA"/>
    <w:rsid w:val="00C45DE4"/>
    <w:rsid w:val="00C45EB1"/>
    <w:rsid w:val="00C45F67"/>
    <w:rsid w:val="00C4638E"/>
    <w:rsid w:val="00C46469"/>
    <w:rsid w:val="00C466CF"/>
    <w:rsid w:val="00C47F4C"/>
    <w:rsid w:val="00C5008E"/>
    <w:rsid w:val="00C50904"/>
    <w:rsid w:val="00C5094D"/>
    <w:rsid w:val="00C50B09"/>
    <w:rsid w:val="00C5133F"/>
    <w:rsid w:val="00C519C1"/>
    <w:rsid w:val="00C51A2B"/>
    <w:rsid w:val="00C51B0B"/>
    <w:rsid w:val="00C51C00"/>
    <w:rsid w:val="00C52052"/>
    <w:rsid w:val="00C52124"/>
    <w:rsid w:val="00C5241C"/>
    <w:rsid w:val="00C52B7C"/>
    <w:rsid w:val="00C52E87"/>
    <w:rsid w:val="00C52EA2"/>
    <w:rsid w:val="00C53321"/>
    <w:rsid w:val="00C53821"/>
    <w:rsid w:val="00C53A2D"/>
    <w:rsid w:val="00C53C41"/>
    <w:rsid w:val="00C53DBD"/>
    <w:rsid w:val="00C542E7"/>
    <w:rsid w:val="00C54511"/>
    <w:rsid w:val="00C54719"/>
    <w:rsid w:val="00C54A80"/>
    <w:rsid w:val="00C54C51"/>
    <w:rsid w:val="00C54C5D"/>
    <w:rsid w:val="00C54DDD"/>
    <w:rsid w:val="00C54EED"/>
    <w:rsid w:val="00C55178"/>
    <w:rsid w:val="00C551B4"/>
    <w:rsid w:val="00C55498"/>
    <w:rsid w:val="00C55558"/>
    <w:rsid w:val="00C558D3"/>
    <w:rsid w:val="00C55943"/>
    <w:rsid w:val="00C5596E"/>
    <w:rsid w:val="00C55B93"/>
    <w:rsid w:val="00C567CF"/>
    <w:rsid w:val="00C56C13"/>
    <w:rsid w:val="00C56DD7"/>
    <w:rsid w:val="00C56E5E"/>
    <w:rsid w:val="00C5712E"/>
    <w:rsid w:val="00C57425"/>
    <w:rsid w:val="00C574FD"/>
    <w:rsid w:val="00C57B8F"/>
    <w:rsid w:val="00C57DE4"/>
    <w:rsid w:val="00C57FF3"/>
    <w:rsid w:val="00C604AD"/>
    <w:rsid w:val="00C60B8E"/>
    <w:rsid w:val="00C60DCD"/>
    <w:rsid w:val="00C60EA0"/>
    <w:rsid w:val="00C61389"/>
    <w:rsid w:val="00C613AD"/>
    <w:rsid w:val="00C619D1"/>
    <w:rsid w:val="00C61C39"/>
    <w:rsid w:val="00C6237C"/>
    <w:rsid w:val="00C62B56"/>
    <w:rsid w:val="00C62CC7"/>
    <w:rsid w:val="00C62D06"/>
    <w:rsid w:val="00C62DBD"/>
    <w:rsid w:val="00C63018"/>
    <w:rsid w:val="00C6333E"/>
    <w:rsid w:val="00C6396C"/>
    <w:rsid w:val="00C63D81"/>
    <w:rsid w:val="00C6487B"/>
    <w:rsid w:val="00C6490F"/>
    <w:rsid w:val="00C64B60"/>
    <w:rsid w:val="00C64F87"/>
    <w:rsid w:val="00C64FA3"/>
    <w:rsid w:val="00C650E0"/>
    <w:rsid w:val="00C651BC"/>
    <w:rsid w:val="00C656F5"/>
    <w:rsid w:val="00C659DD"/>
    <w:rsid w:val="00C65D1A"/>
    <w:rsid w:val="00C66285"/>
    <w:rsid w:val="00C6636A"/>
    <w:rsid w:val="00C664AC"/>
    <w:rsid w:val="00C66A63"/>
    <w:rsid w:val="00C66A6D"/>
    <w:rsid w:val="00C66B18"/>
    <w:rsid w:val="00C66B64"/>
    <w:rsid w:val="00C66CBB"/>
    <w:rsid w:val="00C67205"/>
    <w:rsid w:val="00C67331"/>
    <w:rsid w:val="00C6748C"/>
    <w:rsid w:val="00C67A7B"/>
    <w:rsid w:val="00C67F28"/>
    <w:rsid w:val="00C7008A"/>
    <w:rsid w:val="00C7060B"/>
    <w:rsid w:val="00C706EF"/>
    <w:rsid w:val="00C70837"/>
    <w:rsid w:val="00C708E5"/>
    <w:rsid w:val="00C70E06"/>
    <w:rsid w:val="00C7112C"/>
    <w:rsid w:val="00C711D8"/>
    <w:rsid w:val="00C711FF"/>
    <w:rsid w:val="00C712C3"/>
    <w:rsid w:val="00C71358"/>
    <w:rsid w:val="00C71730"/>
    <w:rsid w:val="00C71747"/>
    <w:rsid w:val="00C71E2F"/>
    <w:rsid w:val="00C72314"/>
    <w:rsid w:val="00C725CD"/>
    <w:rsid w:val="00C72956"/>
    <w:rsid w:val="00C729CC"/>
    <w:rsid w:val="00C72FA3"/>
    <w:rsid w:val="00C735FC"/>
    <w:rsid w:val="00C737AF"/>
    <w:rsid w:val="00C73A6F"/>
    <w:rsid w:val="00C73BCF"/>
    <w:rsid w:val="00C74AB7"/>
    <w:rsid w:val="00C75218"/>
    <w:rsid w:val="00C756D7"/>
    <w:rsid w:val="00C7573B"/>
    <w:rsid w:val="00C75BC9"/>
    <w:rsid w:val="00C75C31"/>
    <w:rsid w:val="00C760DC"/>
    <w:rsid w:val="00C764F8"/>
    <w:rsid w:val="00C76565"/>
    <w:rsid w:val="00C7660A"/>
    <w:rsid w:val="00C76745"/>
    <w:rsid w:val="00C767A7"/>
    <w:rsid w:val="00C767F5"/>
    <w:rsid w:val="00C76806"/>
    <w:rsid w:val="00C771D6"/>
    <w:rsid w:val="00C77274"/>
    <w:rsid w:val="00C774CC"/>
    <w:rsid w:val="00C7764C"/>
    <w:rsid w:val="00C7791D"/>
    <w:rsid w:val="00C77E2D"/>
    <w:rsid w:val="00C77F15"/>
    <w:rsid w:val="00C77F93"/>
    <w:rsid w:val="00C801A3"/>
    <w:rsid w:val="00C8037D"/>
    <w:rsid w:val="00C80A0B"/>
    <w:rsid w:val="00C80AE7"/>
    <w:rsid w:val="00C80AF0"/>
    <w:rsid w:val="00C80F3A"/>
    <w:rsid w:val="00C8128A"/>
    <w:rsid w:val="00C81844"/>
    <w:rsid w:val="00C81965"/>
    <w:rsid w:val="00C81C97"/>
    <w:rsid w:val="00C82239"/>
    <w:rsid w:val="00C82B39"/>
    <w:rsid w:val="00C83070"/>
    <w:rsid w:val="00C832B7"/>
    <w:rsid w:val="00C83388"/>
    <w:rsid w:val="00C835EE"/>
    <w:rsid w:val="00C8362C"/>
    <w:rsid w:val="00C83774"/>
    <w:rsid w:val="00C83E86"/>
    <w:rsid w:val="00C83E97"/>
    <w:rsid w:val="00C840F7"/>
    <w:rsid w:val="00C84144"/>
    <w:rsid w:val="00C8416C"/>
    <w:rsid w:val="00C8418B"/>
    <w:rsid w:val="00C84428"/>
    <w:rsid w:val="00C8540A"/>
    <w:rsid w:val="00C85672"/>
    <w:rsid w:val="00C857BC"/>
    <w:rsid w:val="00C85DC8"/>
    <w:rsid w:val="00C85FA3"/>
    <w:rsid w:val="00C86497"/>
    <w:rsid w:val="00C86AC4"/>
    <w:rsid w:val="00C86D2C"/>
    <w:rsid w:val="00C86D43"/>
    <w:rsid w:val="00C87002"/>
    <w:rsid w:val="00C876B4"/>
    <w:rsid w:val="00C8774A"/>
    <w:rsid w:val="00C87CD9"/>
    <w:rsid w:val="00C9036E"/>
    <w:rsid w:val="00C90F8C"/>
    <w:rsid w:val="00C912DB"/>
    <w:rsid w:val="00C915A4"/>
    <w:rsid w:val="00C91AC7"/>
    <w:rsid w:val="00C91E2F"/>
    <w:rsid w:val="00C91EDA"/>
    <w:rsid w:val="00C920D3"/>
    <w:rsid w:val="00C92280"/>
    <w:rsid w:val="00C9236D"/>
    <w:rsid w:val="00C926EE"/>
    <w:rsid w:val="00C92A6A"/>
    <w:rsid w:val="00C92B50"/>
    <w:rsid w:val="00C932E6"/>
    <w:rsid w:val="00C934E1"/>
    <w:rsid w:val="00C93BC1"/>
    <w:rsid w:val="00C94096"/>
    <w:rsid w:val="00C941C5"/>
    <w:rsid w:val="00C946DF"/>
    <w:rsid w:val="00C9495E"/>
    <w:rsid w:val="00C94A05"/>
    <w:rsid w:val="00C94C4A"/>
    <w:rsid w:val="00C95361"/>
    <w:rsid w:val="00C95547"/>
    <w:rsid w:val="00C9556F"/>
    <w:rsid w:val="00C956A7"/>
    <w:rsid w:val="00C95B6D"/>
    <w:rsid w:val="00C96119"/>
    <w:rsid w:val="00C96240"/>
    <w:rsid w:val="00C965E6"/>
    <w:rsid w:val="00C96666"/>
    <w:rsid w:val="00C96B7C"/>
    <w:rsid w:val="00C96D00"/>
    <w:rsid w:val="00C96D76"/>
    <w:rsid w:val="00C97390"/>
    <w:rsid w:val="00C97474"/>
    <w:rsid w:val="00C977A3"/>
    <w:rsid w:val="00C97996"/>
    <w:rsid w:val="00C97D94"/>
    <w:rsid w:val="00CA02CE"/>
    <w:rsid w:val="00CA0524"/>
    <w:rsid w:val="00CA05CF"/>
    <w:rsid w:val="00CA062F"/>
    <w:rsid w:val="00CA071D"/>
    <w:rsid w:val="00CA08B3"/>
    <w:rsid w:val="00CA0C01"/>
    <w:rsid w:val="00CA1158"/>
    <w:rsid w:val="00CA118B"/>
    <w:rsid w:val="00CA1409"/>
    <w:rsid w:val="00CA1569"/>
    <w:rsid w:val="00CA1BC9"/>
    <w:rsid w:val="00CA224B"/>
    <w:rsid w:val="00CA232E"/>
    <w:rsid w:val="00CA24BE"/>
    <w:rsid w:val="00CA252A"/>
    <w:rsid w:val="00CA26D0"/>
    <w:rsid w:val="00CA295C"/>
    <w:rsid w:val="00CA2BF5"/>
    <w:rsid w:val="00CA2D0C"/>
    <w:rsid w:val="00CA377C"/>
    <w:rsid w:val="00CA389A"/>
    <w:rsid w:val="00CA3D69"/>
    <w:rsid w:val="00CA3FA6"/>
    <w:rsid w:val="00CA41DC"/>
    <w:rsid w:val="00CA4538"/>
    <w:rsid w:val="00CA46E5"/>
    <w:rsid w:val="00CA476A"/>
    <w:rsid w:val="00CA47B1"/>
    <w:rsid w:val="00CA493F"/>
    <w:rsid w:val="00CA4BAE"/>
    <w:rsid w:val="00CA4BE9"/>
    <w:rsid w:val="00CA4CC1"/>
    <w:rsid w:val="00CA5498"/>
    <w:rsid w:val="00CA55E6"/>
    <w:rsid w:val="00CA560D"/>
    <w:rsid w:val="00CA57D3"/>
    <w:rsid w:val="00CA59AB"/>
    <w:rsid w:val="00CA5AFB"/>
    <w:rsid w:val="00CA5BFB"/>
    <w:rsid w:val="00CA670F"/>
    <w:rsid w:val="00CA6946"/>
    <w:rsid w:val="00CA69D5"/>
    <w:rsid w:val="00CA6A6D"/>
    <w:rsid w:val="00CA6DB0"/>
    <w:rsid w:val="00CA6FF8"/>
    <w:rsid w:val="00CA730D"/>
    <w:rsid w:val="00CA7E9F"/>
    <w:rsid w:val="00CB00FE"/>
    <w:rsid w:val="00CB0691"/>
    <w:rsid w:val="00CB0904"/>
    <w:rsid w:val="00CB0B5A"/>
    <w:rsid w:val="00CB0C3C"/>
    <w:rsid w:val="00CB0E0E"/>
    <w:rsid w:val="00CB0EF7"/>
    <w:rsid w:val="00CB12F4"/>
    <w:rsid w:val="00CB1763"/>
    <w:rsid w:val="00CB179D"/>
    <w:rsid w:val="00CB18CB"/>
    <w:rsid w:val="00CB1994"/>
    <w:rsid w:val="00CB19AF"/>
    <w:rsid w:val="00CB275E"/>
    <w:rsid w:val="00CB2939"/>
    <w:rsid w:val="00CB2B46"/>
    <w:rsid w:val="00CB2F08"/>
    <w:rsid w:val="00CB3964"/>
    <w:rsid w:val="00CB426B"/>
    <w:rsid w:val="00CB43D7"/>
    <w:rsid w:val="00CB47B0"/>
    <w:rsid w:val="00CB4C3E"/>
    <w:rsid w:val="00CB4F14"/>
    <w:rsid w:val="00CB4F7C"/>
    <w:rsid w:val="00CB50AF"/>
    <w:rsid w:val="00CB5190"/>
    <w:rsid w:val="00CB54DA"/>
    <w:rsid w:val="00CB572B"/>
    <w:rsid w:val="00CB5DB4"/>
    <w:rsid w:val="00CB61FE"/>
    <w:rsid w:val="00CB6287"/>
    <w:rsid w:val="00CB69AD"/>
    <w:rsid w:val="00CB6CAD"/>
    <w:rsid w:val="00CB7465"/>
    <w:rsid w:val="00CB74F9"/>
    <w:rsid w:val="00CB76C6"/>
    <w:rsid w:val="00CC01AB"/>
    <w:rsid w:val="00CC0227"/>
    <w:rsid w:val="00CC02D2"/>
    <w:rsid w:val="00CC058C"/>
    <w:rsid w:val="00CC0658"/>
    <w:rsid w:val="00CC0676"/>
    <w:rsid w:val="00CC0B65"/>
    <w:rsid w:val="00CC10BC"/>
    <w:rsid w:val="00CC124A"/>
    <w:rsid w:val="00CC1877"/>
    <w:rsid w:val="00CC1A85"/>
    <w:rsid w:val="00CC23EB"/>
    <w:rsid w:val="00CC2B93"/>
    <w:rsid w:val="00CC2EE3"/>
    <w:rsid w:val="00CC2F7F"/>
    <w:rsid w:val="00CC33D7"/>
    <w:rsid w:val="00CC33D9"/>
    <w:rsid w:val="00CC361A"/>
    <w:rsid w:val="00CC37EE"/>
    <w:rsid w:val="00CC3E53"/>
    <w:rsid w:val="00CC45B0"/>
    <w:rsid w:val="00CC478C"/>
    <w:rsid w:val="00CC47CB"/>
    <w:rsid w:val="00CC48DD"/>
    <w:rsid w:val="00CC4A5D"/>
    <w:rsid w:val="00CC4CE8"/>
    <w:rsid w:val="00CC56C0"/>
    <w:rsid w:val="00CC56C6"/>
    <w:rsid w:val="00CC5945"/>
    <w:rsid w:val="00CC5C6F"/>
    <w:rsid w:val="00CC5F0D"/>
    <w:rsid w:val="00CC65EC"/>
    <w:rsid w:val="00CC67B5"/>
    <w:rsid w:val="00CC723B"/>
    <w:rsid w:val="00CC77F0"/>
    <w:rsid w:val="00CC787F"/>
    <w:rsid w:val="00CC7A1C"/>
    <w:rsid w:val="00CC7CD9"/>
    <w:rsid w:val="00CC7F72"/>
    <w:rsid w:val="00CD0158"/>
    <w:rsid w:val="00CD0B3B"/>
    <w:rsid w:val="00CD0B75"/>
    <w:rsid w:val="00CD0F69"/>
    <w:rsid w:val="00CD1977"/>
    <w:rsid w:val="00CD1CE8"/>
    <w:rsid w:val="00CD2584"/>
    <w:rsid w:val="00CD259E"/>
    <w:rsid w:val="00CD26C6"/>
    <w:rsid w:val="00CD2B92"/>
    <w:rsid w:val="00CD2F1C"/>
    <w:rsid w:val="00CD32C1"/>
    <w:rsid w:val="00CD33D2"/>
    <w:rsid w:val="00CD3457"/>
    <w:rsid w:val="00CD44F3"/>
    <w:rsid w:val="00CD4F7C"/>
    <w:rsid w:val="00CD4FA0"/>
    <w:rsid w:val="00CD523D"/>
    <w:rsid w:val="00CD5309"/>
    <w:rsid w:val="00CD55F8"/>
    <w:rsid w:val="00CD585B"/>
    <w:rsid w:val="00CD58DA"/>
    <w:rsid w:val="00CD5998"/>
    <w:rsid w:val="00CD5C45"/>
    <w:rsid w:val="00CD5EEB"/>
    <w:rsid w:val="00CD60F1"/>
    <w:rsid w:val="00CD61FB"/>
    <w:rsid w:val="00CD645D"/>
    <w:rsid w:val="00CD649B"/>
    <w:rsid w:val="00CD6CBC"/>
    <w:rsid w:val="00CD6EA4"/>
    <w:rsid w:val="00CD6EF7"/>
    <w:rsid w:val="00CD6FBC"/>
    <w:rsid w:val="00CD7080"/>
    <w:rsid w:val="00CD71ED"/>
    <w:rsid w:val="00CD7B04"/>
    <w:rsid w:val="00CD7B99"/>
    <w:rsid w:val="00CE0311"/>
    <w:rsid w:val="00CE069A"/>
    <w:rsid w:val="00CE0AA2"/>
    <w:rsid w:val="00CE0ADF"/>
    <w:rsid w:val="00CE0D32"/>
    <w:rsid w:val="00CE0E8B"/>
    <w:rsid w:val="00CE0FDC"/>
    <w:rsid w:val="00CE1414"/>
    <w:rsid w:val="00CE17A7"/>
    <w:rsid w:val="00CE2480"/>
    <w:rsid w:val="00CE2B3A"/>
    <w:rsid w:val="00CE2DD5"/>
    <w:rsid w:val="00CE3505"/>
    <w:rsid w:val="00CE3B4B"/>
    <w:rsid w:val="00CE3C26"/>
    <w:rsid w:val="00CE414A"/>
    <w:rsid w:val="00CE4B3F"/>
    <w:rsid w:val="00CE511D"/>
    <w:rsid w:val="00CE581E"/>
    <w:rsid w:val="00CE58DD"/>
    <w:rsid w:val="00CE59CA"/>
    <w:rsid w:val="00CE646C"/>
    <w:rsid w:val="00CE694D"/>
    <w:rsid w:val="00CE6961"/>
    <w:rsid w:val="00CE71BF"/>
    <w:rsid w:val="00CE7266"/>
    <w:rsid w:val="00CE7306"/>
    <w:rsid w:val="00CE751C"/>
    <w:rsid w:val="00CE78AB"/>
    <w:rsid w:val="00CE7FE9"/>
    <w:rsid w:val="00CF00F8"/>
    <w:rsid w:val="00CF0460"/>
    <w:rsid w:val="00CF0738"/>
    <w:rsid w:val="00CF0D0B"/>
    <w:rsid w:val="00CF14DA"/>
    <w:rsid w:val="00CF14E8"/>
    <w:rsid w:val="00CF188F"/>
    <w:rsid w:val="00CF18AD"/>
    <w:rsid w:val="00CF1BF1"/>
    <w:rsid w:val="00CF1EEE"/>
    <w:rsid w:val="00CF204A"/>
    <w:rsid w:val="00CF2098"/>
    <w:rsid w:val="00CF2110"/>
    <w:rsid w:val="00CF3751"/>
    <w:rsid w:val="00CF3815"/>
    <w:rsid w:val="00CF409C"/>
    <w:rsid w:val="00CF42BF"/>
    <w:rsid w:val="00CF42CF"/>
    <w:rsid w:val="00CF4580"/>
    <w:rsid w:val="00CF4698"/>
    <w:rsid w:val="00CF470D"/>
    <w:rsid w:val="00CF51E3"/>
    <w:rsid w:val="00CF5378"/>
    <w:rsid w:val="00CF547B"/>
    <w:rsid w:val="00CF55E8"/>
    <w:rsid w:val="00CF5607"/>
    <w:rsid w:val="00CF583C"/>
    <w:rsid w:val="00CF5C19"/>
    <w:rsid w:val="00CF5D81"/>
    <w:rsid w:val="00CF5FAC"/>
    <w:rsid w:val="00CF5FE3"/>
    <w:rsid w:val="00CF630A"/>
    <w:rsid w:val="00CF6526"/>
    <w:rsid w:val="00CF6730"/>
    <w:rsid w:val="00CF6C14"/>
    <w:rsid w:val="00CF700A"/>
    <w:rsid w:val="00CF7707"/>
    <w:rsid w:val="00CF7795"/>
    <w:rsid w:val="00CF79A3"/>
    <w:rsid w:val="00CF7A4F"/>
    <w:rsid w:val="00CF7A55"/>
    <w:rsid w:val="00CF7A74"/>
    <w:rsid w:val="00CF7AA6"/>
    <w:rsid w:val="00D00086"/>
    <w:rsid w:val="00D0042A"/>
    <w:rsid w:val="00D00653"/>
    <w:rsid w:val="00D009A6"/>
    <w:rsid w:val="00D00F88"/>
    <w:rsid w:val="00D00FA4"/>
    <w:rsid w:val="00D010CF"/>
    <w:rsid w:val="00D01246"/>
    <w:rsid w:val="00D0159B"/>
    <w:rsid w:val="00D017CA"/>
    <w:rsid w:val="00D01DEF"/>
    <w:rsid w:val="00D02BD0"/>
    <w:rsid w:val="00D02CB6"/>
    <w:rsid w:val="00D02E8D"/>
    <w:rsid w:val="00D034FD"/>
    <w:rsid w:val="00D03B6D"/>
    <w:rsid w:val="00D03BA4"/>
    <w:rsid w:val="00D03C55"/>
    <w:rsid w:val="00D04151"/>
    <w:rsid w:val="00D04210"/>
    <w:rsid w:val="00D04CC2"/>
    <w:rsid w:val="00D04D16"/>
    <w:rsid w:val="00D050E0"/>
    <w:rsid w:val="00D05A57"/>
    <w:rsid w:val="00D05DD0"/>
    <w:rsid w:val="00D06440"/>
    <w:rsid w:val="00D064C8"/>
    <w:rsid w:val="00D0675C"/>
    <w:rsid w:val="00D068A0"/>
    <w:rsid w:val="00D069B3"/>
    <w:rsid w:val="00D06A6B"/>
    <w:rsid w:val="00D06E07"/>
    <w:rsid w:val="00D07E6B"/>
    <w:rsid w:val="00D10228"/>
    <w:rsid w:val="00D107F2"/>
    <w:rsid w:val="00D108DB"/>
    <w:rsid w:val="00D10C8C"/>
    <w:rsid w:val="00D10F16"/>
    <w:rsid w:val="00D11090"/>
    <w:rsid w:val="00D112D9"/>
    <w:rsid w:val="00D117AC"/>
    <w:rsid w:val="00D11943"/>
    <w:rsid w:val="00D11A6B"/>
    <w:rsid w:val="00D11E5C"/>
    <w:rsid w:val="00D122CE"/>
    <w:rsid w:val="00D1265E"/>
    <w:rsid w:val="00D1268D"/>
    <w:rsid w:val="00D12C5C"/>
    <w:rsid w:val="00D13A36"/>
    <w:rsid w:val="00D14035"/>
    <w:rsid w:val="00D140E8"/>
    <w:rsid w:val="00D1429E"/>
    <w:rsid w:val="00D14725"/>
    <w:rsid w:val="00D1559C"/>
    <w:rsid w:val="00D15786"/>
    <w:rsid w:val="00D158EB"/>
    <w:rsid w:val="00D15AB3"/>
    <w:rsid w:val="00D15AEA"/>
    <w:rsid w:val="00D15B60"/>
    <w:rsid w:val="00D15E47"/>
    <w:rsid w:val="00D15FA2"/>
    <w:rsid w:val="00D161E6"/>
    <w:rsid w:val="00D163C2"/>
    <w:rsid w:val="00D1681F"/>
    <w:rsid w:val="00D16D54"/>
    <w:rsid w:val="00D16E65"/>
    <w:rsid w:val="00D17344"/>
    <w:rsid w:val="00D17462"/>
    <w:rsid w:val="00D179A3"/>
    <w:rsid w:val="00D17FC9"/>
    <w:rsid w:val="00D20726"/>
    <w:rsid w:val="00D20848"/>
    <w:rsid w:val="00D20B76"/>
    <w:rsid w:val="00D20E0A"/>
    <w:rsid w:val="00D20EE0"/>
    <w:rsid w:val="00D21012"/>
    <w:rsid w:val="00D211F5"/>
    <w:rsid w:val="00D2129E"/>
    <w:rsid w:val="00D21AF0"/>
    <w:rsid w:val="00D21D18"/>
    <w:rsid w:val="00D2209D"/>
    <w:rsid w:val="00D222B5"/>
    <w:rsid w:val="00D22761"/>
    <w:rsid w:val="00D227EF"/>
    <w:rsid w:val="00D22920"/>
    <w:rsid w:val="00D22B53"/>
    <w:rsid w:val="00D22F7F"/>
    <w:rsid w:val="00D23093"/>
    <w:rsid w:val="00D231F0"/>
    <w:rsid w:val="00D23260"/>
    <w:rsid w:val="00D234B4"/>
    <w:rsid w:val="00D23613"/>
    <w:rsid w:val="00D2372E"/>
    <w:rsid w:val="00D23E5C"/>
    <w:rsid w:val="00D23FDE"/>
    <w:rsid w:val="00D241E0"/>
    <w:rsid w:val="00D2472C"/>
    <w:rsid w:val="00D251EB"/>
    <w:rsid w:val="00D252A7"/>
    <w:rsid w:val="00D253F7"/>
    <w:rsid w:val="00D2551B"/>
    <w:rsid w:val="00D258C3"/>
    <w:rsid w:val="00D262FE"/>
    <w:rsid w:val="00D263CF"/>
    <w:rsid w:val="00D26400"/>
    <w:rsid w:val="00D264DB"/>
    <w:rsid w:val="00D26C07"/>
    <w:rsid w:val="00D27513"/>
    <w:rsid w:val="00D275B1"/>
    <w:rsid w:val="00D277AD"/>
    <w:rsid w:val="00D278A8"/>
    <w:rsid w:val="00D27F42"/>
    <w:rsid w:val="00D306C6"/>
    <w:rsid w:val="00D30993"/>
    <w:rsid w:val="00D3126E"/>
    <w:rsid w:val="00D31DCD"/>
    <w:rsid w:val="00D323B9"/>
    <w:rsid w:val="00D326DD"/>
    <w:rsid w:val="00D3279C"/>
    <w:rsid w:val="00D32B3F"/>
    <w:rsid w:val="00D32D2C"/>
    <w:rsid w:val="00D32DE5"/>
    <w:rsid w:val="00D33104"/>
    <w:rsid w:val="00D334A3"/>
    <w:rsid w:val="00D3351B"/>
    <w:rsid w:val="00D33543"/>
    <w:rsid w:val="00D33599"/>
    <w:rsid w:val="00D335E9"/>
    <w:rsid w:val="00D336DB"/>
    <w:rsid w:val="00D33713"/>
    <w:rsid w:val="00D337AE"/>
    <w:rsid w:val="00D33986"/>
    <w:rsid w:val="00D341C4"/>
    <w:rsid w:val="00D341F6"/>
    <w:rsid w:val="00D348C5"/>
    <w:rsid w:val="00D350AE"/>
    <w:rsid w:val="00D35DF3"/>
    <w:rsid w:val="00D36566"/>
    <w:rsid w:val="00D36A57"/>
    <w:rsid w:val="00D36AEC"/>
    <w:rsid w:val="00D36D3B"/>
    <w:rsid w:val="00D37256"/>
    <w:rsid w:val="00D37525"/>
    <w:rsid w:val="00D377AA"/>
    <w:rsid w:val="00D37B65"/>
    <w:rsid w:val="00D37D8A"/>
    <w:rsid w:val="00D4000D"/>
    <w:rsid w:val="00D40064"/>
    <w:rsid w:val="00D402A2"/>
    <w:rsid w:val="00D40858"/>
    <w:rsid w:val="00D40B73"/>
    <w:rsid w:val="00D41342"/>
    <w:rsid w:val="00D4259E"/>
    <w:rsid w:val="00D4267D"/>
    <w:rsid w:val="00D42957"/>
    <w:rsid w:val="00D42A11"/>
    <w:rsid w:val="00D42CA9"/>
    <w:rsid w:val="00D43032"/>
    <w:rsid w:val="00D43746"/>
    <w:rsid w:val="00D43820"/>
    <w:rsid w:val="00D43960"/>
    <w:rsid w:val="00D43979"/>
    <w:rsid w:val="00D43B10"/>
    <w:rsid w:val="00D43DDC"/>
    <w:rsid w:val="00D43E26"/>
    <w:rsid w:val="00D43ECD"/>
    <w:rsid w:val="00D440B4"/>
    <w:rsid w:val="00D44128"/>
    <w:rsid w:val="00D44684"/>
    <w:rsid w:val="00D446BF"/>
    <w:rsid w:val="00D44CF9"/>
    <w:rsid w:val="00D44D1E"/>
    <w:rsid w:val="00D44EEE"/>
    <w:rsid w:val="00D45251"/>
    <w:rsid w:val="00D45CDE"/>
    <w:rsid w:val="00D460D2"/>
    <w:rsid w:val="00D4618E"/>
    <w:rsid w:val="00D461BE"/>
    <w:rsid w:val="00D46B85"/>
    <w:rsid w:val="00D46E7B"/>
    <w:rsid w:val="00D46FF1"/>
    <w:rsid w:val="00D47451"/>
    <w:rsid w:val="00D47AB8"/>
    <w:rsid w:val="00D5024A"/>
    <w:rsid w:val="00D5024E"/>
    <w:rsid w:val="00D502A1"/>
    <w:rsid w:val="00D50695"/>
    <w:rsid w:val="00D506B7"/>
    <w:rsid w:val="00D50724"/>
    <w:rsid w:val="00D51782"/>
    <w:rsid w:val="00D517C6"/>
    <w:rsid w:val="00D518D9"/>
    <w:rsid w:val="00D51A71"/>
    <w:rsid w:val="00D51C8F"/>
    <w:rsid w:val="00D521CD"/>
    <w:rsid w:val="00D52352"/>
    <w:rsid w:val="00D5237A"/>
    <w:rsid w:val="00D5243F"/>
    <w:rsid w:val="00D528A1"/>
    <w:rsid w:val="00D52B06"/>
    <w:rsid w:val="00D52B62"/>
    <w:rsid w:val="00D52CA9"/>
    <w:rsid w:val="00D530F0"/>
    <w:rsid w:val="00D5337E"/>
    <w:rsid w:val="00D533F6"/>
    <w:rsid w:val="00D53452"/>
    <w:rsid w:val="00D537D8"/>
    <w:rsid w:val="00D539E8"/>
    <w:rsid w:val="00D53BB3"/>
    <w:rsid w:val="00D53BD9"/>
    <w:rsid w:val="00D53DB7"/>
    <w:rsid w:val="00D5421B"/>
    <w:rsid w:val="00D5428F"/>
    <w:rsid w:val="00D545DD"/>
    <w:rsid w:val="00D549A5"/>
    <w:rsid w:val="00D54E82"/>
    <w:rsid w:val="00D55079"/>
    <w:rsid w:val="00D550F7"/>
    <w:rsid w:val="00D55A4F"/>
    <w:rsid w:val="00D55C04"/>
    <w:rsid w:val="00D564B0"/>
    <w:rsid w:val="00D56655"/>
    <w:rsid w:val="00D56BA0"/>
    <w:rsid w:val="00D56E48"/>
    <w:rsid w:val="00D56EC9"/>
    <w:rsid w:val="00D56FB3"/>
    <w:rsid w:val="00D57323"/>
    <w:rsid w:val="00D576C6"/>
    <w:rsid w:val="00D57798"/>
    <w:rsid w:val="00D5785B"/>
    <w:rsid w:val="00D57A46"/>
    <w:rsid w:val="00D57C6B"/>
    <w:rsid w:val="00D605B3"/>
    <w:rsid w:val="00D60683"/>
    <w:rsid w:val="00D60A08"/>
    <w:rsid w:val="00D60E20"/>
    <w:rsid w:val="00D610C9"/>
    <w:rsid w:val="00D611A8"/>
    <w:rsid w:val="00D61245"/>
    <w:rsid w:val="00D6135B"/>
    <w:rsid w:val="00D614DE"/>
    <w:rsid w:val="00D61564"/>
    <w:rsid w:val="00D6272D"/>
    <w:rsid w:val="00D6286C"/>
    <w:rsid w:val="00D629E1"/>
    <w:rsid w:val="00D62CAA"/>
    <w:rsid w:val="00D6309B"/>
    <w:rsid w:val="00D631DF"/>
    <w:rsid w:val="00D6349D"/>
    <w:rsid w:val="00D6364E"/>
    <w:rsid w:val="00D6372D"/>
    <w:rsid w:val="00D64095"/>
    <w:rsid w:val="00D64132"/>
    <w:rsid w:val="00D6417B"/>
    <w:rsid w:val="00D64299"/>
    <w:rsid w:val="00D6471D"/>
    <w:rsid w:val="00D648C5"/>
    <w:rsid w:val="00D64A86"/>
    <w:rsid w:val="00D64B64"/>
    <w:rsid w:val="00D64C41"/>
    <w:rsid w:val="00D65705"/>
    <w:rsid w:val="00D659AD"/>
    <w:rsid w:val="00D65ED6"/>
    <w:rsid w:val="00D66842"/>
    <w:rsid w:val="00D66913"/>
    <w:rsid w:val="00D66C40"/>
    <w:rsid w:val="00D66DE1"/>
    <w:rsid w:val="00D66E98"/>
    <w:rsid w:val="00D6700F"/>
    <w:rsid w:val="00D67181"/>
    <w:rsid w:val="00D67294"/>
    <w:rsid w:val="00D67321"/>
    <w:rsid w:val="00D673C0"/>
    <w:rsid w:val="00D6757E"/>
    <w:rsid w:val="00D6768E"/>
    <w:rsid w:val="00D677B5"/>
    <w:rsid w:val="00D67CA9"/>
    <w:rsid w:val="00D70459"/>
    <w:rsid w:val="00D7138A"/>
    <w:rsid w:val="00D71561"/>
    <w:rsid w:val="00D71855"/>
    <w:rsid w:val="00D71F4F"/>
    <w:rsid w:val="00D7249D"/>
    <w:rsid w:val="00D72A30"/>
    <w:rsid w:val="00D72B32"/>
    <w:rsid w:val="00D72B80"/>
    <w:rsid w:val="00D73810"/>
    <w:rsid w:val="00D73C6D"/>
    <w:rsid w:val="00D74AC3"/>
    <w:rsid w:val="00D74DF4"/>
    <w:rsid w:val="00D74F54"/>
    <w:rsid w:val="00D74FA3"/>
    <w:rsid w:val="00D75014"/>
    <w:rsid w:val="00D75157"/>
    <w:rsid w:val="00D751E2"/>
    <w:rsid w:val="00D75433"/>
    <w:rsid w:val="00D7555B"/>
    <w:rsid w:val="00D75868"/>
    <w:rsid w:val="00D75ADA"/>
    <w:rsid w:val="00D75DF9"/>
    <w:rsid w:val="00D7660A"/>
    <w:rsid w:val="00D76F47"/>
    <w:rsid w:val="00D770FA"/>
    <w:rsid w:val="00D800AC"/>
    <w:rsid w:val="00D80741"/>
    <w:rsid w:val="00D80811"/>
    <w:rsid w:val="00D80CEB"/>
    <w:rsid w:val="00D8131E"/>
    <w:rsid w:val="00D8149E"/>
    <w:rsid w:val="00D81694"/>
    <w:rsid w:val="00D81A7C"/>
    <w:rsid w:val="00D81C75"/>
    <w:rsid w:val="00D81F1E"/>
    <w:rsid w:val="00D82033"/>
    <w:rsid w:val="00D824D5"/>
    <w:rsid w:val="00D82CDF"/>
    <w:rsid w:val="00D835DD"/>
    <w:rsid w:val="00D83605"/>
    <w:rsid w:val="00D84806"/>
    <w:rsid w:val="00D8481F"/>
    <w:rsid w:val="00D84BF7"/>
    <w:rsid w:val="00D85597"/>
    <w:rsid w:val="00D85654"/>
    <w:rsid w:val="00D8582A"/>
    <w:rsid w:val="00D85BA3"/>
    <w:rsid w:val="00D86141"/>
    <w:rsid w:val="00D862C8"/>
    <w:rsid w:val="00D8655F"/>
    <w:rsid w:val="00D86961"/>
    <w:rsid w:val="00D87284"/>
    <w:rsid w:val="00D87568"/>
    <w:rsid w:val="00D87ACD"/>
    <w:rsid w:val="00D87CA6"/>
    <w:rsid w:val="00D87E20"/>
    <w:rsid w:val="00D900D4"/>
    <w:rsid w:val="00D905F4"/>
    <w:rsid w:val="00D90C89"/>
    <w:rsid w:val="00D9152C"/>
    <w:rsid w:val="00D915B5"/>
    <w:rsid w:val="00D917CE"/>
    <w:rsid w:val="00D91996"/>
    <w:rsid w:val="00D91BCE"/>
    <w:rsid w:val="00D91F95"/>
    <w:rsid w:val="00D92004"/>
    <w:rsid w:val="00D925A7"/>
    <w:rsid w:val="00D926E4"/>
    <w:rsid w:val="00D92775"/>
    <w:rsid w:val="00D928F0"/>
    <w:rsid w:val="00D92B03"/>
    <w:rsid w:val="00D933D3"/>
    <w:rsid w:val="00D93645"/>
    <w:rsid w:val="00D93976"/>
    <w:rsid w:val="00D93D15"/>
    <w:rsid w:val="00D93E23"/>
    <w:rsid w:val="00D94590"/>
    <w:rsid w:val="00D945BA"/>
    <w:rsid w:val="00D947B5"/>
    <w:rsid w:val="00D94CA0"/>
    <w:rsid w:val="00D94F1B"/>
    <w:rsid w:val="00D95137"/>
    <w:rsid w:val="00D95A21"/>
    <w:rsid w:val="00D9616F"/>
    <w:rsid w:val="00D961CB"/>
    <w:rsid w:val="00D96202"/>
    <w:rsid w:val="00D96439"/>
    <w:rsid w:val="00D96B56"/>
    <w:rsid w:val="00D96E95"/>
    <w:rsid w:val="00D971DB"/>
    <w:rsid w:val="00D972D6"/>
    <w:rsid w:val="00D977FD"/>
    <w:rsid w:val="00D978F5"/>
    <w:rsid w:val="00D97E59"/>
    <w:rsid w:val="00DA0190"/>
    <w:rsid w:val="00DA07AC"/>
    <w:rsid w:val="00DA0D25"/>
    <w:rsid w:val="00DA1333"/>
    <w:rsid w:val="00DA1557"/>
    <w:rsid w:val="00DA1970"/>
    <w:rsid w:val="00DA1B0A"/>
    <w:rsid w:val="00DA2005"/>
    <w:rsid w:val="00DA2017"/>
    <w:rsid w:val="00DA2242"/>
    <w:rsid w:val="00DA23B5"/>
    <w:rsid w:val="00DA25CB"/>
    <w:rsid w:val="00DA2BCF"/>
    <w:rsid w:val="00DA3140"/>
    <w:rsid w:val="00DA3616"/>
    <w:rsid w:val="00DA36EA"/>
    <w:rsid w:val="00DA388F"/>
    <w:rsid w:val="00DA390E"/>
    <w:rsid w:val="00DA3AE8"/>
    <w:rsid w:val="00DA3FBF"/>
    <w:rsid w:val="00DA4072"/>
    <w:rsid w:val="00DA4171"/>
    <w:rsid w:val="00DA438A"/>
    <w:rsid w:val="00DA4A83"/>
    <w:rsid w:val="00DA4B32"/>
    <w:rsid w:val="00DA4B41"/>
    <w:rsid w:val="00DA4FAF"/>
    <w:rsid w:val="00DA53DF"/>
    <w:rsid w:val="00DA5A39"/>
    <w:rsid w:val="00DA5D9A"/>
    <w:rsid w:val="00DA61AC"/>
    <w:rsid w:val="00DA626F"/>
    <w:rsid w:val="00DA6536"/>
    <w:rsid w:val="00DA6859"/>
    <w:rsid w:val="00DA6A47"/>
    <w:rsid w:val="00DA6EF5"/>
    <w:rsid w:val="00DA701D"/>
    <w:rsid w:val="00DA730D"/>
    <w:rsid w:val="00DA76D3"/>
    <w:rsid w:val="00DA7A37"/>
    <w:rsid w:val="00DA7A9E"/>
    <w:rsid w:val="00DA7D54"/>
    <w:rsid w:val="00DA7EE9"/>
    <w:rsid w:val="00DB050D"/>
    <w:rsid w:val="00DB07A7"/>
    <w:rsid w:val="00DB0A9E"/>
    <w:rsid w:val="00DB0D2A"/>
    <w:rsid w:val="00DB0EAF"/>
    <w:rsid w:val="00DB0F1A"/>
    <w:rsid w:val="00DB147D"/>
    <w:rsid w:val="00DB1564"/>
    <w:rsid w:val="00DB1587"/>
    <w:rsid w:val="00DB1620"/>
    <w:rsid w:val="00DB1951"/>
    <w:rsid w:val="00DB1A87"/>
    <w:rsid w:val="00DB231D"/>
    <w:rsid w:val="00DB26E5"/>
    <w:rsid w:val="00DB299E"/>
    <w:rsid w:val="00DB29A6"/>
    <w:rsid w:val="00DB2BD5"/>
    <w:rsid w:val="00DB2E27"/>
    <w:rsid w:val="00DB3708"/>
    <w:rsid w:val="00DB3735"/>
    <w:rsid w:val="00DB39A2"/>
    <w:rsid w:val="00DB3A14"/>
    <w:rsid w:val="00DB3A47"/>
    <w:rsid w:val="00DB4683"/>
    <w:rsid w:val="00DB4814"/>
    <w:rsid w:val="00DB4845"/>
    <w:rsid w:val="00DB4AF9"/>
    <w:rsid w:val="00DB4DE2"/>
    <w:rsid w:val="00DB4E2B"/>
    <w:rsid w:val="00DB5076"/>
    <w:rsid w:val="00DB51F3"/>
    <w:rsid w:val="00DB55A0"/>
    <w:rsid w:val="00DB5BD5"/>
    <w:rsid w:val="00DB62E9"/>
    <w:rsid w:val="00DB6485"/>
    <w:rsid w:val="00DB6489"/>
    <w:rsid w:val="00DB664A"/>
    <w:rsid w:val="00DB6A8C"/>
    <w:rsid w:val="00DB6FE2"/>
    <w:rsid w:val="00DB74A0"/>
    <w:rsid w:val="00DB7814"/>
    <w:rsid w:val="00DB7AD4"/>
    <w:rsid w:val="00DC02B4"/>
    <w:rsid w:val="00DC0307"/>
    <w:rsid w:val="00DC0761"/>
    <w:rsid w:val="00DC0A10"/>
    <w:rsid w:val="00DC0BE8"/>
    <w:rsid w:val="00DC0E46"/>
    <w:rsid w:val="00DC0E83"/>
    <w:rsid w:val="00DC16F3"/>
    <w:rsid w:val="00DC1C34"/>
    <w:rsid w:val="00DC24B9"/>
    <w:rsid w:val="00DC2602"/>
    <w:rsid w:val="00DC273D"/>
    <w:rsid w:val="00DC2858"/>
    <w:rsid w:val="00DC2A01"/>
    <w:rsid w:val="00DC2DA1"/>
    <w:rsid w:val="00DC2E20"/>
    <w:rsid w:val="00DC2E27"/>
    <w:rsid w:val="00DC398A"/>
    <w:rsid w:val="00DC3A6B"/>
    <w:rsid w:val="00DC46ED"/>
    <w:rsid w:val="00DC482F"/>
    <w:rsid w:val="00DC4AA5"/>
    <w:rsid w:val="00DC4AC3"/>
    <w:rsid w:val="00DC54EC"/>
    <w:rsid w:val="00DC5A9D"/>
    <w:rsid w:val="00DC5C4D"/>
    <w:rsid w:val="00DC63E3"/>
    <w:rsid w:val="00DC6475"/>
    <w:rsid w:val="00DC649C"/>
    <w:rsid w:val="00DC6676"/>
    <w:rsid w:val="00DC66C2"/>
    <w:rsid w:val="00DC73EC"/>
    <w:rsid w:val="00DC74EE"/>
    <w:rsid w:val="00DC7551"/>
    <w:rsid w:val="00DC7595"/>
    <w:rsid w:val="00DC771F"/>
    <w:rsid w:val="00DC77B1"/>
    <w:rsid w:val="00DC7CFE"/>
    <w:rsid w:val="00DC7FBB"/>
    <w:rsid w:val="00DD031B"/>
    <w:rsid w:val="00DD03FF"/>
    <w:rsid w:val="00DD07C1"/>
    <w:rsid w:val="00DD0C59"/>
    <w:rsid w:val="00DD0C5A"/>
    <w:rsid w:val="00DD0E78"/>
    <w:rsid w:val="00DD0F4A"/>
    <w:rsid w:val="00DD1049"/>
    <w:rsid w:val="00DD1466"/>
    <w:rsid w:val="00DD1597"/>
    <w:rsid w:val="00DD1FDD"/>
    <w:rsid w:val="00DD2082"/>
    <w:rsid w:val="00DD2134"/>
    <w:rsid w:val="00DD23F3"/>
    <w:rsid w:val="00DD28A6"/>
    <w:rsid w:val="00DD295E"/>
    <w:rsid w:val="00DD2C17"/>
    <w:rsid w:val="00DD2EC9"/>
    <w:rsid w:val="00DD3347"/>
    <w:rsid w:val="00DD37E8"/>
    <w:rsid w:val="00DD3817"/>
    <w:rsid w:val="00DD3C0B"/>
    <w:rsid w:val="00DD3E94"/>
    <w:rsid w:val="00DD4092"/>
    <w:rsid w:val="00DD49F4"/>
    <w:rsid w:val="00DD51FF"/>
    <w:rsid w:val="00DD52F4"/>
    <w:rsid w:val="00DD565B"/>
    <w:rsid w:val="00DD57DC"/>
    <w:rsid w:val="00DD58F6"/>
    <w:rsid w:val="00DD59D4"/>
    <w:rsid w:val="00DD5A50"/>
    <w:rsid w:val="00DD5A98"/>
    <w:rsid w:val="00DD72ED"/>
    <w:rsid w:val="00DD776E"/>
    <w:rsid w:val="00DD7DEB"/>
    <w:rsid w:val="00DE04E3"/>
    <w:rsid w:val="00DE09EB"/>
    <w:rsid w:val="00DE12AA"/>
    <w:rsid w:val="00DE1319"/>
    <w:rsid w:val="00DE1AFE"/>
    <w:rsid w:val="00DE1BC0"/>
    <w:rsid w:val="00DE1D22"/>
    <w:rsid w:val="00DE1EE6"/>
    <w:rsid w:val="00DE22A3"/>
    <w:rsid w:val="00DE2646"/>
    <w:rsid w:val="00DE27CE"/>
    <w:rsid w:val="00DE36E9"/>
    <w:rsid w:val="00DE383D"/>
    <w:rsid w:val="00DE39AE"/>
    <w:rsid w:val="00DE3C1C"/>
    <w:rsid w:val="00DE3EF5"/>
    <w:rsid w:val="00DE4491"/>
    <w:rsid w:val="00DE4D03"/>
    <w:rsid w:val="00DE4E51"/>
    <w:rsid w:val="00DE549E"/>
    <w:rsid w:val="00DE5E05"/>
    <w:rsid w:val="00DE5EE6"/>
    <w:rsid w:val="00DE68B1"/>
    <w:rsid w:val="00DE6964"/>
    <w:rsid w:val="00DE6DF8"/>
    <w:rsid w:val="00DE74E8"/>
    <w:rsid w:val="00DE753F"/>
    <w:rsid w:val="00DE7583"/>
    <w:rsid w:val="00DE764F"/>
    <w:rsid w:val="00DE7826"/>
    <w:rsid w:val="00DE7A8C"/>
    <w:rsid w:val="00DE7E58"/>
    <w:rsid w:val="00DE7EC8"/>
    <w:rsid w:val="00DF09B5"/>
    <w:rsid w:val="00DF0C03"/>
    <w:rsid w:val="00DF0F3C"/>
    <w:rsid w:val="00DF0FC9"/>
    <w:rsid w:val="00DF1256"/>
    <w:rsid w:val="00DF2370"/>
    <w:rsid w:val="00DF2AF6"/>
    <w:rsid w:val="00DF333A"/>
    <w:rsid w:val="00DF36AB"/>
    <w:rsid w:val="00DF3837"/>
    <w:rsid w:val="00DF3AB8"/>
    <w:rsid w:val="00DF4B89"/>
    <w:rsid w:val="00DF4F32"/>
    <w:rsid w:val="00DF50CF"/>
    <w:rsid w:val="00DF5132"/>
    <w:rsid w:val="00DF59D1"/>
    <w:rsid w:val="00DF5DC6"/>
    <w:rsid w:val="00DF601B"/>
    <w:rsid w:val="00DF6757"/>
    <w:rsid w:val="00DF6951"/>
    <w:rsid w:val="00DF6F11"/>
    <w:rsid w:val="00DF7472"/>
    <w:rsid w:val="00DF74D1"/>
    <w:rsid w:val="00DF75BE"/>
    <w:rsid w:val="00DF77FD"/>
    <w:rsid w:val="00DF7A98"/>
    <w:rsid w:val="00DF7FA5"/>
    <w:rsid w:val="00E0016A"/>
    <w:rsid w:val="00E001D5"/>
    <w:rsid w:val="00E00333"/>
    <w:rsid w:val="00E00408"/>
    <w:rsid w:val="00E00788"/>
    <w:rsid w:val="00E009C2"/>
    <w:rsid w:val="00E00F88"/>
    <w:rsid w:val="00E01701"/>
    <w:rsid w:val="00E01773"/>
    <w:rsid w:val="00E02532"/>
    <w:rsid w:val="00E02841"/>
    <w:rsid w:val="00E02AED"/>
    <w:rsid w:val="00E02C31"/>
    <w:rsid w:val="00E02FB4"/>
    <w:rsid w:val="00E0352D"/>
    <w:rsid w:val="00E03B0D"/>
    <w:rsid w:val="00E03B23"/>
    <w:rsid w:val="00E03BD5"/>
    <w:rsid w:val="00E03BE7"/>
    <w:rsid w:val="00E03C24"/>
    <w:rsid w:val="00E03CF1"/>
    <w:rsid w:val="00E03F57"/>
    <w:rsid w:val="00E045D9"/>
    <w:rsid w:val="00E04667"/>
    <w:rsid w:val="00E04C42"/>
    <w:rsid w:val="00E0521C"/>
    <w:rsid w:val="00E05774"/>
    <w:rsid w:val="00E057F8"/>
    <w:rsid w:val="00E05F98"/>
    <w:rsid w:val="00E0620D"/>
    <w:rsid w:val="00E06667"/>
    <w:rsid w:val="00E0724A"/>
    <w:rsid w:val="00E0736B"/>
    <w:rsid w:val="00E073A1"/>
    <w:rsid w:val="00E073A8"/>
    <w:rsid w:val="00E07AFE"/>
    <w:rsid w:val="00E07E61"/>
    <w:rsid w:val="00E07ED4"/>
    <w:rsid w:val="00E10139"/>
    <w:rsid w:val="00E104C6"/>
    <w:rsid w:val="00E1070D"/>
    <w:rsid w:val="00E10BD1"/>
    <w:rsid w:val="00E10BF5"/>
    <w:rsid w:val="00E10D4E"/>
    <w:rsid w:val="00E11037"/>
    <w:rsid w:val="00E12626"/>
    <w:rsid w:val="00E126EA"/>
    <w:rsid w:val="00E12810"/>
    <w:rsid w:val="00E12B55"/>
    <w:rsid w:val="00E12E94"/>
    <w:rsid w:val="00E13177"/>
    <w:rsid w:val="00E131AC"/>
    <w:rsid w:val="00E1339E"/>
    <w:rsid w:val="00E13A23"/>
    <w:rsid w:val="00E13CCD"/>
    <w:rsid w:val="00E1400D"/>
    <w:rsid w:val="00E142CC"/>
    <w:rsid w:val="00E1445E"/>
    <w:rsid w:val="00E144AE"/>
    <w:rsid w:val="00E146B0"/>
    <w:rsid w:val="00E14ADF"/>
    <w:rsid w:val="00E14AE7"/>
    <w:rsid w:val="00E14CD0"/>
    <w:rsid w:val="00E150FC"/>
    <w:rsid w:val="00E1517F"/>
    <w:rsid w:val="00E15960"/>
    <w:rsid w:val="00E1598C"/>
    <w:rsid w:val="00E15BDC"/>
    <w:rsid w:val="00E15EFA"/>
    <w:rsid w:val="00E160A6"/>
    <w:rsid w:val="00E160E7"/>
    <w:rsid w:val="00E16454"/>
    <w:rsid w:val="00E1672B"/>
    <w:rsid w:val="00E1675C"/>
    <w:rsid w:val="00E1687B"/>
    <w:rsid w:val="00E16C49"/>
    <w:rsid w:val="00E17302"/>
    <w:rsid w:val="00E17AFE"/>
    <w:rsid w:val="00E17BD5"/>
    <w:rsid w:val="00E17D30"/>
    <w:rsid w:val="00E203A8"/>
    <w:rsid w:val="00E20FC0"/>
    <w:rsid w:val="00E20FDD"/>
    <w:rsid w:val="00E213F3"/>
    <w:rsid w:val="00E2145D"/>
    <w:rsid w:val="00E218E6"/>
    <w:rsid w:val="00E2205B"/>
    <w:rsid w:val="00E22D5B"/>
    <w:rsid w:val="00E233F7"/>
    <w:rsid w:val="00E23786"/>
    <w:rsid w:val="00E23AB8"/>
    <w:rsid w:val="00E23B1F"/>
    <w:rsid w:val="00E24202"/>
    <w:rsid w:val="00E2424A"/>
    <w:rsid w:val="00E2466A"/>
    <w:rsid w:val="00E24809"/>
    <w:rsid w:val="00E24BAF"/>
    <w:rsid w:val="00E24C88"/>
    <w:rsid w:val="00E25BD7"/>
    <w:rsid w:val="00E25FF6"/>
    <w:rsid w:val="00E2614D"/>
    <w:rsid w:val="00E266FF"/>
    <w:rsid w:val="00E26B74"/>
    <w:rsid w:val="00E26E6D"/>
    <w:rsid w:val="00E278BA"/>
    <w:rsid w:val="00E27965"/>
    <w:rsid w:val="00E27DCB"/>
    <w:rsid w:val="00E30233"/>
    <w:rsid w:val="00E30270"/>
    <w:rsid w:val="00E3097F"/>
    <w:rsid w:val="00E309E2"/>
    <w:rsid w:val="00E30B9F"/>
    <w:rsid w:val="00E30C7D"/>
    <w:rsid w:val="00E30ED5"/>
    <w:rsid w:val="00E31068"/>
    <w:rsid w:val="00E31360"/>
    <w:rsid w:val="00E31508"/>
    <w:rsid w:val="00E31A94"/>
    <w:rsid w:val="00E31B4A"/>
    <w:rsid w:val="00E31E8A"/>
    <w:rsid w:val="00E325E7"/>
    <w:rsid w:val="00E32B04"/>
    <w:rsid w:val="00E32B3F"/>
    <w:rsid w:val="00E32B7B"/>
    <w:rsid w:val="00E3304A"/>
    <w:rsid w:val="00E33214"/>
    <w:rsid w:val="00E33266"/>
    <w:rsid w:val="00E33D10"/>
    <w:rsid w:val="00E33DCB"/>
    <w:rsid w:val="00E33E8D"/>
    <w:rsid w:val="00E340C3"/>
    <w:rsid w:val="00E340E9"/>
    <w:rsid w:val="00E3426C"/>
    <w:rsid w:val="00E34315"/>
    <w:rsid w:val="00E346F9"/>
    <w:rsid w:val="00E34816"/>
    <w:rsid w:val="00E3490E"/>
    <w:rsid w:val="00E35A94"/>
    <w:rsid w:val="00E35AFC"/>
    <w:rsid w:val="00E35BC5"/>
    <w:rsid w:val="00E35F92"/>
    <w:rsid w:val="00E362E8"/>
    <w:rsid w:val="00E3636C"/>
    <w:rsid w:val="00E36624"/>
    <w:rsid w:val="00E37301"/>
    <w:rsid w:val="00E37407"/>
    <w:rsid w:val="00E377F1"/>
    <w:rsid w:val="00E37CD2"/>
    <w:rsid w:val="00E401DB"/>
    <w:rsid w:val="00E402B6"/>
    <w:rsid w:val="00E40967"/>
    <w:rsid w:val="00E40ADE"/>
    <w:rsid w:val="00E41386"/>
    <w:rsid w:val="00E41875"/>
    <w:rsid w:val="00E41CB2"/>
    <w:rsid w:val="00E42218"/>
    <w:rsid w:val="00E429F6"/>
    <w:rsid w:val="00E42C61"/>
    <w:rsid w:val="00E42CEF"/>
    <w:rsid w:val="00E42E2A"/>
    <w:rsid w:val="00E432E2"/>
    <w:rsid w:val="00E43503"/>
    <w:rsid w:val="00E43561"/>
    <w:rsid w:val="00E43E68"/>
    <w:rsid w:val="00E43FC8"/>
    <w:rsid w:val="00E440DD"/>
    <w:rsid w:val="00E4485E"/>
    <w:rsid w:val="00E44915"/>
    <w:rsid w:val="00E44E9D"/>
    <w:rsid w:val="00E44F52"/>
    <w:rsid w:val="00E44FE8"/>
    <w:rsid w:val="00E462BC"/>
    <w:rsid w:val="00E46445"/>
    <w:rsid w:val="00E46F4F"/>
    <w:rsid w:val="00E47048"/>
    <w:rsid w:val="00E470D1"/>
    <w:rsid w:val="00E475A9"/>
    <w:rsid w:val="00E477D1"/>
    <w:rsid w:val="00E47821"/>
    <w:rsid w:val="00E47AA7"/>
    <w:rsid w:val="00E47E52"/>
    <w:rsid w:val="00E47ECE"/>
    <w:rsid w:val="00E50468"/>
    <w:rsid w:val="00E5066A"/>
    <w:rsid w:val="00E506DE"/>
    <w:rsid w:val="00E50783"/>
    <w:rsid w:val="00E50A37"/>
    <w:rsid w:val="00E50A7E"/>
    <w:rsid w:val="00E51444"/>
    <w:rsid w:val="00E51961"/>
    <w:rsid w:val="00E519D8"/>
    <w:rsid w:val="00E51B0C"/>
    <w:rsid w:val="00E52058"/>
    <w:rsid w:val="00E521E8"/>
    <w:rsid w:val="00E52285"/>
    <w:rsid w:val="00E526C3"/>
    <w:rsid w:val="00E52912"/>
    <w:rsid w:val="00E5322E"/>
    <w:rsid w:val="00E538FF"/>
    <w:rsid w:val="00E53930"/>
    <w:rsid w:val="00E53A38"/>
    <w:rsid w:val="00E53AF2"/>
    <w:rsid w:val="00E5425C"/>
    <w:rsid w:val="00E544C2"/>
    <w:rsid w:val="00E545EA"/>
    <w:rsid w:val="00E54798"/>
    <w:rsid w:val="00E553BD"/>
    <w:rsid w:val="00E55B30"/>
    <w:rsid w:val="00E55BF2"/>
    <w:rsid w:val="00E55FFD"/>
    <w:rsid w:val="00E56095"/>
    <w:rsid w:val="00E562B1"/>
    <w:rsid w:val="00E56338"/>
    <w:rsid w:val="00E567B5"/>
    <w:rsid w:val="00E56E16"/>
    <w:rsid w:val="00E56FA0"/>
    <w:rsid w:val="00E573D7"/>
    <w:rsid w:val="00E57511"/>
    <w:rsid w:val="00E57A24"/>
    <w:rsid w:val="00E57A68"/>
    <w:rsid w:val="00E60260"/>
    <w:rsid w:val="00E60674"/>
    <w:rsid w:val="00E6094D"/>
    <w:rsid w:val="00E60FC2"/>
    <w:rsid w:val="00E61028"/>
    <w:rsid w:val="00E61083"/>
    <w:rsid w:val="00E6147B"/>
    <w:rsid w:val="00E61B57"/>
    <w:rsid w:val="00E61BEC"/>
    <w:rsid w:val="00E61C81"/>
    <w:rsid w:val="00E61E34"/>
    <w:rsid w:val="00E62775"/>
    <w:rsid w:val="00E62780"/>
    <w:rsid w:val="00E62A17"/>
    <w:rsid w:val="00E62BB8"/>
    <w:rsid w:val="00E62DBF"/>
    <w:rsid w:val="00E62EF3"/>
    <w:rsid w:val="00E63304"/>
    <w:rsid w:val="00E63326"/>
    <w:rsid w:val="00E63523"/>
    <w:rsid w:val="00E635D0"/>
    <w:rsid w:val="00E63706"/>
    <w:rsid w:val="00E639D8"/>
    <w:rsid w:val="00E63A5C"/>
    <w:rsid w:val="00E644D8"/>
    <w:rsid w:val="00E6458F"/>
    <w:rsid w:val="00E646EB"/>
    <w:rsid w:val="00E64776"/>
    <w:rsid w:val="00E64899"/>
    <w:rsid w:val="00E648A1"/>
    <w:rsid w:val="00E65507"/>
    <w:rsid w:val="00E65656"/>
    <w:rsid w:val="00E664A6"/>
    <w:rsid w:val="00E666C1"/>
    <w:rsid w:val="00E670E3"/>
    <w:rsid w:val="00E674B3"/>
    <w:rsid w:val="00E675FE"/>
    <w:rsid w:val="00E67600"/>
    <w:rsid w:val="00E67ADF"/>
    <w:rsid w:val="00E67BC1"/>
    <w:rsid w:val="00E67D1A"/>
    <w:rsid w:val="00E67EAF"/>
    <w:rsid w:val="00E70737"/>
    <w:rsid w:val="00E708F4"/>
    <w:rsid w:val="00E71288"/>
    <w:rsid w:val="00E71B13"/>
    <w:rsid w:val="00E71E46"/>
    <w:rsid w:val="00E722C1"/>
    <w:rsid w:val="00E7266F"/>
    <w:rsid w:val="00E7276E"/>
    <w:rsid w:val="00E727EF"/>
    <w:rsid w:val="00E7285C"/>
    <w:rsid w:val="00E72C54"/>
    <w:rsid w:val="00E72D07"/>
    <w:rsid w:val="00E72DAB"/>
    <w:rsid w:val="00E72EC3"/>
    <w:rsid w:val="00E73295"/>
    <w:rsid w:val="00E73A7F"/>
    <w:rsid w:val="00E7463A"/>
    <w:rsid w:val="00E747CC"/>
    <w:rsid w:val="00E74831"/>
    <w:rsid w:val="00E74A1E"/>
    <w:rsid w:val="00E74C4A"/>
    <w:rsid w:val="00E74F2F"/>
    <w:rsid w:val="00E750A5"/>
    <w:rsid w:val="00E754DD"/>
    <w:rsid w:val="00E75734"/>
    <w:rsid w:val="00E75743"/>
    <w:rsid w:val="00E759B2"/>
    <w:rsid w:val="00E759C8"/>
    <w:rsid w:val="00E75B3B"/>
    <w:rsid w:val="00E75B8A"/>
    <w:rsid w:val="00E75CBB"/>
    <w:rsid w:val="00E75DA9"/>
    <w:rsid w:val="00E760D8"/>
    <w:rsid w:val="00E761F7"/>
    <w:rsid w:val="00E763C8"/>
    <w:rsid w:val="00E768F1"/>
    <w:rsid w:val="00E769D6"/>
    <w:rsid w:val="00E76CF1"/>
    <w:rsid w:val="00E76E6C"/>
    <w:rsid w:val="00E771EF"/>
    <w:rsid w:val="00E777A1"/>
    <w:rsid w:val="00E77AF1"/>
    <w:rsid w:val="00E77E69"/>
    <w:rsid w:val="00E8088D"/>
    <w:rsid w:val="00E80A98"/>
    <w:rsid w:val="00E80DEA"/>
    <w:rsid w:val="00E80F3A"/>
    <w:rsid w:val="00E80F65"/>
    <w:rsid w:val="00E813AD"/>
    <w:rsid w:val="00E81631"/>
    <w:rsid w:val="00E816AE"/>
    <w:rsid w:val="00E81704"/>
    <w:rsid w:val="00E81BFF"/>
    <w:rsid w:val="00E81E5D"/>
    <w:rsid w:val="00E82007"/>
    <w:rsid w:val="00E82060"/>
    <w:rsid w:val="00E82168"/>
    <w:rsid w:val="00E82263"/>
    <w:rsid w:val="00E825F6"/>
    <w:rsid w:val="00E82A1E"/>
    <w:rsid w:val="00E82CE6"/>
    <w:rsid w:val="00E83135"/>
    <w:rsid w:val="00E8327D"/>
    <w:rsid w:val="00E837FE"/>
    <w:rsid w:val="00E83984"/>
    <w:rsid w:val="00E83DBA"/>
    <w:rsid w:val="00E83EA6"/>
    <w:rsid w:val="00E842F1"/>
    <w:rsid w:val="00E84493"/>
    <w:rsid w:val="00E844BD"/>
    <w:rsid w:val="00E84AA3"/>
    <w:rsid w:val="00E84B61"/>
    <w:rsid w:val="00E85145"/>
    <w:rsid w:val="00E85402"/>
    <w:rsid w:val="00E85623"/>
    <w:rsid w:val="00E85636"/>
    <w:rsid w:val="00E85D0A"/>
    <w:rsid w:val="00E8624B"/>
    <w:rsid w:val="00E8635E"/>
    <w:rsid w:val="00E86726"/>
    <w:rsid w:val="00E86B22"/>
    <w:rsid w:val="00E86D4A"/>
    <w:rsid w:val="00E86DCC"/>
    <w:rsid w:val="00E87009"/>
    <w:rsid w:val="00E871F3"/>
    <w:rsid w:val="00E875F0"/>
    <w:rsid w:val="00E87633"/>
    <w:rsid w:val="00E878F6"/>
    <w:rsid w:val="00E87B6E"/>
    <w:rsid w:val="00E87F28"/>
    <w:rsid w:val="00E90085"/>
    <w:rsid w:val="00E905F5"/>
    <w:rsid w:val="00E90731"/>
    <w:rsid w:val="00E90A31"/>
    <w:rsid w:val="00E9100F"/>
    <w:rsid w:val="00E913AC"/>
    <w:rsid w:val="00E915D5"/>
    <w:rsid w:val="00E91764"/>
    <w:rsid w:val="00E917ED"/>
    <w:rsid w:val="00E91CD3"/>
    <w:rsid w:val="00E91E32"/>
    <w:rsid w:val="00E9221C"/>
    <w:rsid w:val="00E92243"/>
    <w:rsid w:val="00E92691"/>
    <w:rsid w:val="00E92A11"/>
    <w:rsid w:val="00E92D00"/>
    <w:rsid w:val="00E92E5C"/>
    <w:rsid w:val="00E92F6E"/>
    <w:rsid w:val="00E930AA"/>
    <w:rsid w:val="00E9381C"/>
    <w:rsid w:val="00E938B3"/>
    <w:rsid w:val="00E94015"/>
    <w:rsid w:val="00E94601"/>
    <w:rsid w:val="00E94D1A"/>
    <w:rsid w:val="00E94FE7"/>
    <w:rsid w:val="00E959D4"/>
    <w:rsid w:val="00E95A7B"/>
    <w:rsid w:val="00E96725"/>
    <w:rsid w:val="00E9674C"/>
    <w:rsid w:val="00E96C0B"/>
    <w:rsid w:val="00E96D71"/>
    <w:rsid w:val="00E96FA2"/>
    <w:rsid w:val="00E979DD"/>
    <w:rsid w:val="00E97DEB"/>
    <w:rsid w:val="00E97F03"/>
    <w:rsid w:val="00EA03B7"/>
    <w:rsid w:val="00EA05F3"/>
    <w:rsid w:val="00EA07C3"/>
    <w:rsid w:val="00EA11CF"/>
    <w:rsid w:val="00EA1397"/>
    <w:rsid w:val="00EA1E04"/>
    <w:rsid w:val="00EA1F2F"/>
    <w:rsid w:val="00EA249C"/>
    <w:rsid w:val="00EA273F"/>
    <w:rsid w:val="00EA2AFF"/>
    <w:rsid w:val="00EA2B87"/>
    <w:rsid w:val="00EA2D9B"/>
    <w:rsid w:val="00EA2DA2"/>
    <w:rsid w:val="00EA31DA"/>
    <w:rsid w:val="00EA348B"/>
    <w:rsid w:val="00EA3ACA"/>
    <w:rsid w:val="00EA402E"/>
    <w:rsid w:val="00EA4038"/>
    <w:rsid w:val="00EA476C"/>
    <w:rsid w:val="00EA4C00"/>
    <w:rsid w:val="00EA4C3A"/>
    <w:rsid w:val="00EA5274"/>
    <w:rsid w:val="00EA5576"/>
    <w:rsid w:val="00EA56A8"/>
    <w:rsid w:val="00EA58DC"/>
    <w:rsid w:val="00EA60AF"/>
    <w:rsid w:val="00EA642D"/>
    <w:rsid w:val="00EA6C0D"/>
    <w:rsid w:val="00EA6E4B"/>
    <w:rsid w:val="00EA77A9"/>
    <w:rsid w:val="00EB0064"/>
    <w:rsid w:val="00EB08B6"/>
    <w:rsid w:val="00EB0BB9"/>
    <w:rsid w:val="00EB0C9E"/>
    <w:rsid w:val="00EB16BC"/>
    <w:rsid w:val="00EB1B5B"/>
    <w:rsid w:val="00EB2093"/>
    <w:rsid w:val="00EB20A7"/>
    <w:rsid w:val="00EB21A4"/>
    <w:rsid w:val="00EB21C8"/>
    <w:rsid w:val="00EB2A7B"/>
    <w:rsid w:val="00EB2B73"/>
    <w:rsid w:val="00EB2E17"/>
    <w:rsid w:val="00EB2EC1"/>
    <w:rsid w:val="00EB2F9E"/>
    <w:rsid w:val="00EB300B"/>
    <w:rsid w:val="00EB388D"/>
    <w:rsid w:val="00EB3C3A"/>
    <w:rsid w:val="00EB4011"/>
    <w:rsid w:val="00EB4408"/>
    <w:rsid w:val="00EB482D"/>
    <w:rsid w:val="00EB50F5"/>
    <w:rsid w:val="00EB5200"/>
    <w:rsid w:val="00EB55BC"/>
    <w:rsid w:val="00EB56AA"/>
    <w:rsid w:val="00EB58C6"/>
    <w:rsid w:val="00EB5B52"/>
    <w:rsid w:val="00EB6086"/>
    <w:rsid w:val="00EB618B"/>
    <w:rsid w:val="00EB701E"/>
    <w:rsid w:val="00EB7586"/>
    <w:rsid w:val="00EB76FA"/>
    <w:rsid w:val="00EB7C12"/>
    <w:rsid w:val="00EB7DCA"/>
    <w:rsid w:val="00EB7FCB"/>
    <w:rsid w:val="00EC0D57"/>
    <w:rsid w:val="00EC0DA8"/>
    <w:rsid w:val="00EC0F36"/>
    <w:rsid w:val="00EC1232"/>
    <w:rsid w:val="00EC13E0"/>
    <w:rsid w:val="00EC161D"/>
    <w:rsid w:val="00EC1DB0"/>
    <w:rsid w:val="00EC1DC6"/>
    <w:rsid w:val="00EC1EE1"/>
    <w:rsid w:val="00EC226F"/>
    <w:rsid w:val="00EC2452"/>
    <w:rsid w:val="00EC28F4"/>
    <w:rsid w:val="00EC294E"/>
    <w:rsid w:val="00EC2C91"/>
    <w:rsid w:val="00EC31A4"/>
    <w:rsid w:val="00EC350B"/>
    <w:rsid w:val="00EC4650"/>
    <w:rsid w:val="00EC4782"/>
    <w:rsid w:val="00EC4898"/>
    <w:rsid w:val="00EC497E"/>
    <w:rsid w:val="00EC4B41"/>
    <w:rsid w:val="00EC63C1"/>
    <w:rsid w:val="00EC6487"/>
    <w:rsid w:val="00EC6A0E"/>
    <w:rsid w:val="00EC6AFB"/>
    <w:rsid w:val="00EC710A"/>
    <w:rsid w:val="00EC747F"/>
    <w:rsid w:val="00EC7C74"/>
    <w:rsid w:val="00EC7E61"/>
    <w:rsid w:val="00EC7FC1"/>
    <w:rsid w:val="00ED03F3"/>
    <w:rsid w:val="00ED0780"/>
    <w:rsid w:val="00ED1690"/>
    <w:rsid w:val="00ED1952"/>
    <w:rsid w:val="00ED1C60"/>
    <w:rsid w:val="00ED207D"/>
    <w:rsid w:val="00ED2A06"/>
    <w:rsid w:val="00ED2A9F"/>
    <w:rsid w:val="00ED2B81"/>
    <w:rsid w:val="00ED2BD6"/>
    <w:rsid w:val="00ED302E"/>
    <w:rsid w:val="00ED345E"/>
    <w:rsid w:val="00ED36A3"/>
    <w:rsid w:val="00ED3920"/>
    <w:rsid w:val="00ED3A82"/>
    <w:rsid w:val="00ED3B7C"/>
    <w:rsid w:val="00ED41A5"/>
    <w:rsid w:val="00ED4202"/>
    <w:rsid w:val="00ED437F"/>
    <w:rsid w:val="00ED4588"/>
    <w:rsid w:val="00ED5104"/>
    <w:rsid w:val="00ED516D"/>
    <w:rsid w:val="00ED54D1"/>
    <w:rsid w:val="00ED5B6B"/>
    <w:rsid w:val="00ED5C6A"/>
    <w:rsid w:val="00ED5D6E"/>
    <w:rsid w:val="00ED5E78"/>
    <w:rsid w:val="00ED634F"/>
    <w:rsid w:val="00ED65FD"/>
    <w:rsid w:val="00ED6CD8"/>
    <w:rsid w:val="00ED6FA1"/>
    <w:rsid w:val="00ED727F"/>
    <w:rsid w:val="00ED7D59"/>
    <w:rsid w:val="00EE0794"/>
    <w:rsid w:val="00EE07B9"/>
    <w:rsid w:val="00EE0896"/>
    <w:rsid w:val="00EE090C"/>
    <w:rsid w:val="00EE101B"/>
    <w:rsid w:val="00EE1230"/>
    <w:rsid w:val="00EE14DB"/>
    <w:rsid w:val="00EE16F1"/>
    <w:rsid w:val="00EE189E"/>
    <w:rsid w:val="00EE1C79"/>
    <w:rsid w:val="00EE225F"/>
    <w:rsid w:val="00EE264B"/>
    <w:rsid w:val="00EE26A5"/>
    <w:rsid w:val="00EE2E22"/>
    <w:rsid w:val="00EE2F64"/>
    <w:rsid w:val="00EE3949"/>
    <w:rsid w:val="00EE3A09"/>
    <w:rsid w:val="00EE3A5A"/>
    <w:rsid w:val="00EE3BF2"/>
    <w:rsid w:val="00EE3C2D"/>
    <w:rsid w:val="00EE3D18"/>
    <w:rsid w:val="00EE42F2"/>
    <w:rsid w:val="00EE47B2"/>
    <w:rsid w:val="00EE4982"/>
    <w:rsid w:val="00EE4D14"/>
    <w:rsid w:val="00EE509B"/>
    <w:rsid w:val="00EE50B9"/>
    <w:rsid w:val="00EE52B8"/>
    <w:rsid w:val="00EE56C5"/>
    <w:rsid w:val="00EE5798"/>
    <w:rsid w:val="00EE5BB2"/>
    <w:rsid w:val="00EE5C84"/>
    <w:rsid w:val="00EE5CB2"/>
    <w:rsid w:val="00EE6321"/>
    <w:rsid w:val="00EE63A0"/>
    <w:rsid w:val="00EE6DC9"/>
    <w:rsid w:val="00EE6EF4"/>
    <w:rsid w:val="00EE78AA"/>
    <w:rsid w:val="00EE78F0"/>
    <w:rsid w:val="00EE7ACB"/>
    <w:rsid w:val="00EE7EC9"/>
    <w:rsid w:val="00EF03FB"/>
    <w:rsid w:val="00EF040C"/>
    <w:rsid w:val="00EF0824"/>
    <w:rsid w:val="00EF0882"/>
    <w:rsid w:val="00EF0C43"/>
    <w:rsid w:val="00EF0DA6"/>
    <w:rsid w:val="00EF0DDA"/>
    <w:rsid w:val="00EF144B"/>
    <w:rsid w:val="00EF1791"/>
    <w:rsid w:val="00EF1A23"/>
    <w:rsid w:val="00EF1AA9"/>
    <w:rsid w:val="00EF1CB8"/>
    <w:rsid w:val="00EF1F1B"/>
    <w:rsid w:val="00EF1FAA"/>
    <w:rsid w:val="00EF1FE1"/>
    <w:rsid w:val="00EF206C"/>
    <w:rsid w:val="00EF20E6"/>
    <w:rsid w:val="00EF2441"/>
    <w:rsid w:val="00EF25DA"/>
    <w:rsid w:val="00EF34F8"/>
    <w:rsid w:val="00EF3578"/>
    <w:rsid w:val="00EF36C3"/>
    <w:rsid w:val="00EF3BA0"/>
    <w:rsid w:val="00EF3C57"/>
    <w:rsid w:val="00EF3E77"/>
    <w:rsid w:val="00EF4031"/>
    <w:rsid w:val="00EF4367"/>
    <w:rsid w:val="00EF4374"/>
    <w:rsid w:val="00EF4ADA"/>
    <w:rsid w:val="00EF4B80"/>
    <w:rsid w:val="00EF4BAE"/>
    <w:rsid w:val="00EF4D21"/>
    <w:rsid w:val="00EF5852"/>
    <w:rsid w:val="00EF5D88"/>
    <w:rsid w:val="00EF6348"/>
    <w:rsid w:val="00EF646A"/>
    <w:rsid w:val="00EF6B0D"/>
    <w:rsid w:val="00EF6CD8"/>
    <w:rsid w:val="00EF7269"/>
    <w:rsid w:val="00EF75E6"/>
    <w:rsid w:val="00EF796D"/>
    <w:rsid w:val="00EF7983"/>
    <w:rsid w:val="00F000FD"/>
    <w:rsid w:val="00F0037E"/>
    <w:rsid w:val="00F00383"/>
    <w:rsid w:val="00F006E2"/>
    <w:rsid w:val="00F00924"/>
    <w:rsid w:val="00F00C2B"/>
    <w:rsid w:val="00F0124C"/>
    <w:rsid w:val="00F01492"/>
    <w:rsid w:val="00F0196A"/>
    <w:rsid w:val="00F01B3D"/>
    <w:rsid w:val="00F01D2F"/>
    <w:rsid w:val="00F01DDF"/>
    <w:rsid w:val="00F02763"/>
    <w:rsid w:val="00F028B7"/>
    <w:rsid w:val="00F02DBD"/>
    <w:rsid w:val="00F030FA"/>
    <w:rsid w:val="00F0345D"/>
    <w:rsid w:val="00F0373B"/>
    <w:rsid w:val="00F03A06"/>
    <w:rsid w:val="00F04060"/>
    <w:rsid w:val="00F041DA"/>
    <w:rsid w:val="00F047E0"/>
    <w:rsid w:val="00F04C60"/>
    <w:rsid w:val="00F052A8"/>
    <w:rsid w:val="00F05543"/>
    <w:rsid w:val="00F05568"/>
    <w:rsid w:val="00F05AFB"/>
    <w:rsid w:val="00F063DC"/>
    <w:rsid w:val="00F063EA"/>
    <w:rsid w:val="00F06682"/>
    <w:rsid w:val="00F06C17"/>
    <w:rsid w:val="00F06FE5"/>
    <w:rsid w:val="00F071C7"/>
    <w:rsid w:val="00F07814"/>
    <w:rsid w:val="00F07A8E"/>
    <w:rsid w:val="00F07EFD"/>
    <w:rsid w:val="00F1097E"/>
    <w:rsid w:val="00F10A0C"/>
    <w:rsid w:val="00F10DA6"/>
    <w:rsid w:val="00F10DD4"/>
    <w:rsid w:val="00F10F90"/>
    <w:rsid w:val="00F110F1"/>
    <w:rsid w:val="00F11CAC"/>
    <w:rsid w:val="00F12154"/>
    <w:rsid w:val="00F1224C"/>
    <w:rsid w:val="00F12CD2"/>
    <w:rsid w:val="00F14369"/>
    <w:rsid w:val="00F14676"/>
    <w:rsid w:val="00F1477A"/>
    <w:rsid w:val="00F147D3"/>
    <w:rsid w:val="00F147FB"/>
    <w:rsid w:val="00F15099"/>
    <w:rsid w:val="00F15111"/>
    <w:rsid w:val="00F1511C"/>
    <w:rsid w:val="00F151B4"/>
    <w:rsid w:val="00F1527A"/>
    <w:rsid w:val="00F152D5"/>
    <w:rsid w:val="00F1551B"/>
    <w:rsid w:val="00F15913"/>
    <w:rsid w:val="00F15ABC"/>
    <w:rsid w:val="00F15E24"/>
    <w:rsid w:val="00F15E9D"/>
    <w:rsid w:val="00F15EC2"/>
    <w:rsid w:val="00F16098"/>
    <w:rsid w:val="00F16116"/>
    <w:rsid w:val="00F163AD"/>
    <w:rsid w:val="00F16582"/>
    <w:rsid w:val="00F166E6"/>
    <w:rsid w:val="00F170D3"/>
    <w:rsid w:val="00F171AD"/>
    <w:rsid w:val="00F17EAD"/>
    <w:rsid w:val="00F203E6"/>
    <w:rsid w:val="00F20451"/>
    <w:rsid w:val="00F20990"/>
    <w:rsid w:val="00F20CA6"/>
    <w:rsid w:val="00F21525"/>
    <w:rsid w:val="00F215DC"/>
    <w:rsid w:val="00F218B5"/>
    <w:rsid w:val="00F21A8F"/>
    <w:rsid w:val="00F21AE4"/>
    <w:rsid w:val="00F2208A"/>
    <w:rsid w:val="00F22199"/>
    <w:rsid w:val="00F221AC"/>
    <w:rsid w:val="00F223A6"/>
    <w:rsid w:val="00F22452"/>
    <w:rsid w:val="00F2257A"/>
    <w:rsid w:val="00F22E66"/>
    <w:rsid w:val="00F233DC"/>
    <w:rsid w:val="00F2341A"/>
    <w:rsid w:val="00F2383F"/>
    <w:rsid w:val="00F238B4"/>
    <w:rsid w:val="00F23BE5"/>
    <w:rsid w:val="00F23C36"/>
    <w:rsid w:val="00F23E50"/>
    <w:rsid w:val="00F23F6F"/>
    <w:rsid w:val="00F24260"/>
    <w:rsid w:val="00F2432C"/>
    <w:rsid w:val="00F24445"/>
    <w:rsid w:val="00F24568"/>
    <w:rsid w:val="00F24593"/>
    <w:rsid w:val="00F2470D"/>
    <w:rsid w:val="00F24B83"/>
    <w:rsid w:val="00F24C65"/>
    <w:rsid w:val="00F24DEA"/>
    <w:rsid w:val="00F24E57"/>
    <w:rsid w:val="00F24EAA"/>
    <w:rsid w:val="00F252DA"/>
    <w:rsid w:val="00F256A4"/>
    <w:rsid w:val="00F25A49"/>
    <w:rsid w:val="00F25AC6"/>
    <w:rsid w:val="00F25D1E"/>
    <w:rsid w:val="00F2628E"/>
    <w:rsid w:val="00F27B49"/>
    <w:rsid w:val="00F27B85"/>
    <w:rsid w:val="00F27BAB"/>
    <w:rsid w:val="00F302A3"/>
    <w:rsid w:val="00F30869"/>
    <w:rsid w:val="00F30A2F"/>
    <w:rsid w:val="00F30CD1"/>
    <w:rsid w:val="00F30CFA"/>
    <w:rsid w:val="00F30D2A"/>
    <w:rsid w:val="00F30D9F"/>
    <w:rsid w:val="00F30DDD"/>
    <w:rsid w:val="00F311A7"/>
    <w:rsid w:val="00F3121F"/>
    <w:rsid w:val="00F315FF"/>
    <w:rsid w:val="00F31BD8"/>
    <w:rsid w:val="00F31C57"/>
    <w:rsid w:val="00F31C8D"/>
    <w:rsid w:val="00F324ED"/>
    <w:rsid w:val="00F32B20"/>
    <w:rsid w:val="00F32D4D"/>
    <w:rsid w:val="00F32E2A"/>
    <w:rsid w:val="00F33C94"/>
    <w:rsid w:val="00F3417C"/>
    <w:rsid w:val="00F34F09"/>
    <w:rsid w:val="00F34F3A"/>
    <w:rsid w:val="00F350DC"/>
    <w:rsid w:val="00F351BE"/>
    <w:rsid w:val="00F352BC"/>
    <w:rsid w:val="00F35722"/>
    <w:rsid w:val="00F358D3"/>
    <w:rsid w:val="00F35DE4"/>
    <w:rsid w:val="00F35EE9"/>
    <w:rsid w:val="00F361BE"/>
    <w:rsid w:val="00F362C1"/>
    <w:rsid w:val="00F36406"/>
    <w:rsid w:val="00F36CA0"/>
    <w:rsid w:val="00F37034"/>
    <w:rsid w:val="00F37587"/>
    <w:rsid w:val="00F37890"/>
    <w:rsid w:val="00F37E5C"/>
    <w:rsid w:val="00F4035E"/>
    <w:rsid w:val="00F406B0"/>
    <w:rsid w:val="00F408EE"/>
    <w:rsid w:val="00F40931"/>
    <w:rsid w:val="00F40B20"/>
    <w:rsid w:val="00F40E46"/>
    <w:rsid w:val="00F41193"/>
    <w:rsid w:val="00F411F8"/>
    <w:rsid w:val="00F413D8"/>
    <w:rsid w:val="00F41EF1"/>
    <w:rsid w:val="00F420AC"/>
    <w:rsid w:val="00F421D1"/>
    <w:rsid w:val="00F42539"/>
    <w:rsid w:val="00F42B03"/>
    <w:rsid w:val="00F42C13"/>
    <w:rsid w:val="00F4327F"/>
    <w:rsid w:val="00F43526"/>
    <w:rsid w:val="00F436BC"/>
    <w:rsid w:val="00F43E1A"/>
    <w:rsid w:val="00F44152"/>
    <w:rsid w:val="00F4427F"/>
    <w:rsid w:val="00F44641"/>
    <w:rsid w:val="00F44CBB"/>
    <w:rsid w:val="00F44E77"/>
    <w:rsid w:val="00F44F8F"/>
    <w:rsid w:val="00F45066"/>
    <w:rsid w:val="00F45840"/>
    <w:rsid w:val="00F458F8"/>
    <w:rsid w:val="00F45FB9"/>
    <w:rsid w:val="00F46107"/>
    <w:rsid w:val="00F46123"/>
    <w:rsid w:val="00F464FF"/>
    <w:rsid w:val="00F46557"/>
    <w:rsid w:val="00F46803"/>
    <w:rsid w:val="00F46A03"/>
    <w:rsid w:val="00F46D74"/>
    <w:rsid w:val="00F4739C"/>
    <w:rsid w:val="00F475E9"/>
    <w:rsid w:val="00F47BAD"/>
    <w:rsid w:val="00F47F4B"/>
    <w:rsid w:val="00F504EE"/>
    <w:rsid w:val="00F5050D"/>
    <w:rsid w:val="00F505C7"/>
    <w:rsid w:val="00F508BE"/>
    <w:rsid w:val="00F50F8F"/>
    <w:rsid w:val="00F5109C"/>
    <w:rsid w:val="00F51420"/>
    <w:rsid w:val="00F51567"/>
    <w:rsid w:val="00F519FD"/>
    <w:rsid w:val="00F52140"/>
    <w:rsid w:val="00F521B6"/>
    <w:rsid w:val="00F52233"/>
    <w:rsid w:val="00F52395"/>
    <w:rsid w:val="00F52CEB"/>
    <w:rsid w:val="00F536AB"/>
    <w:rsid w:val="00F5374A"/>
    <w:rsid w:val="00F537D9"/>
    <w:rsid w:val="00F53CB6"/>
    <w:rsid w:val="00F5466E"/>
    <w:rsid w:val="00F54712"/>
    <w:rsid w:val="00F547B9"/>
    <w:rsid w:val="00F54862"/>
    <w:rsid w:val="00F54E71"/>
    <w:rsid w:val="00F54EEE"/>
    <w:rsid w:val="00F550BA"/>
    <w:rsid w:val="00F55192"/>
    <w:rsid w:val="00F553FF"/>
    <w:rsid w:val="00F55573"/>
    <w:rsid w:val="00F55AA6"/>
    <w:rsid w:val="00F55ECC"/>
    <w:rsid w:val="00F56266"/>
    <w:rsid w:val="00F56312"/>
    <w:rsid w:val="00F56350"/>
    <w:rsid w:val="00F56539"/>
    <w:rsid w:val="00F56628"/>
    <w:rsid w:val="00F569D1"/>
    <w:rsid w:val="00F56A5E"/>
    <w:rsid w:val="00F56C51"/>
    <w:rsid w:val="00F56DE2"/>
    <w:rsid w:val="00F56FCD"/>
    <w:rsid w:val="00F577D5"/>
    <w:rsid w:val="00F57812"/>
    <w:rsid w:val="00F5789D"/>
    <w:rsid w:val="00F57ABB"/>
    <w:rsid w:val="00F60578"/>
    <w:rsid w:val="00F60ED9"/>
    <w:rsid w:val="00F60F34"/>
    <w:rsid w:val="00F619D6"/>
    <w:rsid w:val="00F619F6"/>
    <w:rsid w:val="00F61ADE"/>
    <w:rsid w:val="00F61B4F"/>
    <w:rsid w:val="00F61DD2"/>
    <w:rsid w:val="00F624AC"/>
    <w:rsid w:val="00F6266A"/>
    <w:rsid w:val="00F626DB"/>
    <w:rsid w:val="00F6295B"/>
    <w:rsid w:val="00F62994"/>
    <w:rsid w:val="00F63028"/>
    <w:rsid w:val="00F633D1"/>
    <w:rsid w:val="00F63A3E"/>
    <w:rsid w:val="00F63B2A"/>
    <w:rsid w:val="00F63C89"/>
    <w:rsid w:val="00F64183"/>
    <w:rsid w:val="00F64613"/>
    <w:rsid w:val="00F646C2"/>
    <w:rsid w:val="00F64CA8"/>
    <w:rsid w:val="00F64F70"/>
    <w:rsid w:val="00F651E5"/>
    <w:rsid w:val="00F65488"/>
    <w:rsid w:val="00F655AC"/>
    <w:rsid w:val="00F65677"/>
    <w:rsid w:val="00F66373"/>
    <w:rsid w:val="00F67394"/>
    <w:rsid w:val="00F673B3"/>
    <w:rsid w:val="00F67A1F"/>
    <w:rsid w:val="00F67B74"/>
    <w:rsid w:val="00F70038"/>
    <w:rsid w:val="00F701F0"/>
    <w:rsid w:val="00F7037F"/>
    <w:rsid w:val="00F70385"/>
    <w:rsid w:val="00F706DB"/>
    <w:rsid w:val="00F706EE"/>
    <w:rsid w:val="00F70732"/>
    <w:rsid w:val="00F70D65"/>
    <w:rsid w:val="00F70FA1"/>
    <w:rsid w:val="00F71174"/>
    <w:rsid w:val="00F7185E"/>
    <w:rsid w:val="00F7195E"/>
    <w:rsid w:val="00F72515"/>
    <w:rsid w:val="00F7261D"/>
    <w:rsid w:val="00F7280F"/>
    <w:rsid w:val="00F72DB0"/>
    <w:rsid w:val="00F72F28"/>
    <w:rsid w:val="00F730B8"/>
    <w:rsid w:val="00F7344E"/>
    <w:rsid w:val="00F73577"/>
    <w:rsid w:val="00F73925"/>
    <w:rsid w:val="00F73A26"/>
    <w:rsid w:val="00F73C83"/>
    <w:rsid w:val="00F7428F"/>
    <w:rsid w:val="00F745BB"/>
    <w:rsid w:val="00F75164"/>
    <w:rsid w:val="00F751EE"/>
    <w:rsid w:val="00F75488"/>
    <w:rsid w:val="00F75872"/>
    <w:rsid w:val="00F7589A"/>
    <w:rsid w:val="00F75D6C"/>
    <w:rsid w:val="00F75EAE"/>
    <w:rsid w:val="00F76254"/>
    <w:rsid w:val="00F765DF"/>
    <w:rsid w:val="00F765FC"/>
    <w:rsid w:val="00F76808"/>
    <w:rsid w:val="00F769AC"/>
    <w:rsid w:val="00F76B91"/>
    <w:rsid w:val="00F76CC9"/>
    <w:rsid w:val="00F76FB2"/>
    <w:rsid w:val="00F76FC0"/>
    <w:rsid w:val="00F7754F"/>
    <w:rsid w:val="00F77747"/>
    <w:rsid w:val="00F77FBD"/>
    <w:rsid w:val="00F77FD3"/>
    <w:rsid w:val="00F801DA"/>
    <w:rsid w:val="00F807E2"/>
    <w:rsid w:val="00F80815"/>
    <w:rsid w:val="00F8087F"/>
    <w:rsid w:val="00F808FA"/>
    <w:rsid w:val="00F80986"/>
    <w:rsid w:val="00F809BF"/>
    <w:rsid w:val="00F80A23"/>
    <w:rsid w:val="00F8104A"/>
    <w:rsid w:val="00F812C1"/>
    <w:rsid w:val="00F8143A"/>
    <w:rsid w:val="00F8170C"/>
    <w:rsid w:val="00F817EB"/>
    <w:rsid w:val="00F81993"/>
    <w:rsid w:val="00F8204C"/>
    <w:rsid w:val="00F82593"/>
    <w:rsid w:val="00F82683"/>
    <w:rsid w:val="00F82894"/>
    <w:rsid w:val="00F82C1B"/>
    <w:rsid w:val="00F83403"/>
    <w:rsid w:val="00F83465"/>
    <w:rsid w:val="00F835AE"/>
    <w:rsid w:val="00F83B22"/>
    <w:rsid w:val="00F83CE3"/>
    <w:rsid w:val="00F83F02"/>
    <w:rsid w:val="00F8446E"/>
    <w:rsid w:val="00F847E9"/>
    <w:rsid w:val="00F8484C"/>
    <w:rsid w:val="00F84C1B"/>
    <w:rsid w:val="00F84E5D"/>
    <w:rsid w:val="00F853A6"/>
    <w:rsid w:val="00F856A1"/>
    <w:rsid w:val="00F85B02"/>
    <w:rsid w:val="00F86593"/>
    <w:rsid w:val="00F8680B"/>
    <w:rsid w:val="00F86A00"/>
    <w:rsid w:val="00F86A3D"/>
    <w:rsid w:val="00F86C21"/>
    <w:rsid w:val="00F86CBE"/>
    <w:rsid w:val="00F87011"/>
    <w:rsid w:val="00F870AE"/>
    <w:rsid w:val="00F87322"/>
    <w:rsid w:val="00F873E1"/>
    <w:rsid w:val="00F877BE"/>
    <w:rsid w:val="00F87B18"/>
    <w:rsid w:val="00F900A8"/>
    <w:rsid w:val="00F900FD"/>
    <w:rsid w:val="00F90117"/>
    <w:rsid w:val="00F90266"/>
    <w:rsid w:val="00F90353"/>
    <w:rsid w:val="00F9035E"/>
    <w:rsid w:val="00F90443"/>
    <w:rsid w:val="00F9060E"/>
    <w:rsid w:val="00F90D86"/>
    <w:rsid w:val="00F91315"/>
    <w:rsid w:val="00F913F8"/>
    <w:rsid w:val="00F915EC"/>
    <w:rsid w:val="00F917D2"/>
    <w:rsid w:val="00F9213A"/>
    <w:rsid w:val="00F923BE"/>
    <w:rsid w:val="00F9247A"/>
    <w:rsid w:val="00F92AAF"/>
    <w:rsid w:val="00F9338C"/>
    <w:rsid w:val="00F933C5"/>
    <w:rsid w:val="00F937AF"/>
    <w:rsid w:val="00F939FF"/>
    <w:rsid w:val="00F93C6A"/>
    <w:rsid w:val="00F94076"/>
    <w:rsid w:val="00F947A6"/>
    <w:rsid w:val="00F94A5A"/>
    <w:rsid w:val="00F9514F"/>
    <w:rsid w:val="00F95744"/>
    <w:rsid w:val="00F95F19"/>
    <w:rsid w:val="00F960A2"/>
    <w:rsid w:val="00F96152"/>
    <w:rsid w:val="00F9649E"/>
    <w:rsid w:val="00F968FD"/>
    <w:rsid w:val="00F9723A"/>
    <w:rsid w:val="00F9733E"/>
    <w:rsid w:val="00F97898"/>
    <w:rsid w:val="00F97B3A"/>
    <w:rsid w:val="00F97D0C"/>
    <w:rsid w:val="00FA0ABD"/>
    <w:rsid w:val="00FA0BD1"/>
    <w:rsid w:val="00FA0F61"/>
    <w:rsid w:val="00FA1289"/>
    <w:rsid w:val="00FA1EFB"/>
    <w:rsid w:val="00FA2141"/>
    <w:rsid w:val="00FA2173"/>
    <w:rsid w:val="00FA294B"/>
    <w:rsid w:val="00FA2956"/>
    <w:rsid w:val="00FA31B6"/>
    <w:rsid w:val="00FA3291"/>
    <w:rsid w:val="00FA372D"/>
    <w:rsid w:val="00FA37F7"/>
    <w:rsid w:val="00FA3875"/>
    <w:rsid w:val="00FA3BFA"/>
    <w:rsid w:val="00FA3FAF"/>
    <w:rsid w:val="00FA4434"/>
    <w:rsid w:val="00FA4737"/>
    <w:rsid w:val="00FA481D"/>
    <w:rsid w:val="00FA497A"/>
    <w:rsid w:val="00FA4A3D"/>
    <w:rsid w:val="00FA4CC1"/>
    <w:rsid w:val="00FA4D98"/>
    <w:rsid w:val="00FA4EEE"/>
    <w:rsid w:val="00FA5779"/>
    <w:rsid w:val="00FA5AA5"/>
    <w:rsid w:val="00FA5E5F"/>
    <w:rsid w:val="00FA66C6"/>
    <w:rsid w:val="00FA681D"/>
    <w:rsid w:val="00FA6A1E"/>
    <w:rsid w:val="00FA6ACF"/>
    <w:rsid w:val="00FA6B06"/>
    <w:rsid w:val="00FA6BDA"/>
    <w:rsid w:val="00FA6C0E"/>
    <w:rsid w:val="00FA6C59"/>
    <w:rsid w:val="00FA7076"/>
    <w:rsid w:val="00FA7531"/>
    <w:rsid w:val="00FA753B"/>
    <w:rsid w:val="00FA7A47"/>
    <w:rsid w:val="00FADBE7"/>
    <w:rsid w:val="00FB0077"/>
    <w:rsid w:val="00FB0C5F"/>
    <w:rsid w:val="00FB12F1"/>
    <w:rsid w:val="00FB1557"/>
    <w:rsid w:val="00FB15A0"/>
    <w:rsid w:val="00FB1772"/>
    <w:rsid w:val="00FB1EAF"/>
    <w:rsid w:val="00FB2208"/>
    <w:rsid w:val="00FB24C1"/>
    <w:rsid w:val="00FB25AB"/>
    <w:rsid w:val="00FB30C6"/>
    <w:rsid w:val="00FB375E"/>
    <w:rsid w:val="00FB38E4"/>
    <w:rsid w:val="00FB39F2"/>
    <w:rsid w:val="00FB44DB"/>
    <w:rsid w:val="00FB4793"/>
    <w:rsid w:val="00FB4C05"/>
    <w:rsid w:val="00FB4D73"/>
    <w:rsid w:val="00FB50B5"/>
    <w:rsid w:val="00FB510E"/>
    <w:rsid w:val="00FB5329"/>
    <w:rsid w:val="00FB5373"/>
    <w:rsid w:val="00FB5640"/>
    <w:rsid w:val="00FB57AC"/>
    <w:rsid w:val="00FB57B0"/>
    <w:rsid w:val="00FB5A1A"/>
    <w:rsid w:val="00FB5A34"/>
    <w:rsid w:val="00FB5A6D"/>
    <w:rsid w:val="00FB6103"/>
    <w:rsid w:val="00FB67EE"/>
    <w:rsid w:val="00FB6C00"/>
    <w:rsid w:val="00FB6FD6"/>
    <w:rsid w:val="00FB727E"/>
    <w:rsid w:val="00FB72E6"/>
    <w:rsid w:val="00FB7670"/>
    <w:rsid w:val="00FB7929"/>
    <w:rsid w:val="00FB7AE4"/>
    <w:rsid w:val="00FB7C70"/>
    <w:rsid w:val="00FC0078"/>
    <w:rsid w:val="00FC0764"/>
    <w:rsid w:val="00FC1068"/>
    <w:rsid w:val="00FC116D"/>
    <w:rsid w:val="00FC15BD"/>
    <w:rsid w:val="00FC1829"/>
    <w:rsid w:val="00FC1E82"/>
    <w:rsid w:val="00FC2045"/>
    <w:rsid w:val="00FC24A1"/>
    <w:rsid w:val="00FC293A"/>
    <w:rsid w:val="00FC2C5C"/>
    <w:rsid w:val="00FC2CF3"/>
    <w:rsid w:val="00FC3920"/>
    <w:rsid w:val="00FC39F7"/>
    <w:rsid w:val="00FC3C21"/>
    <w:rsid w:val="00FC3C3D"/>
    <w:rsid w:val="00FC419C"/>
    <w:rsid w:val="00FC4291"/>
    <w:rsid w:val="00FC4598"/>
    <w:rsid w:val="00FC46FE"/>
    <w:rsid w:val="00FC53C2"/>
    <w:rsid w:val="00FC5911"/>
    <w:rsid w:val="00FC5C69"/>
    <w:rsid w:val="00FC5CBF"/>
    <w:rsid w:val="00FC5CFD"/>
    <w:rsid w:val="00FC5D9B"/>
    <w:rsid w:val="00FC6E14"/>
    <w:rsid w:val="00FC6F92"/>
    <w:rsid w:val="00FC7097"/>
    <w:rsid w:val="00FC7112"/>
    <w:rsid w:val="00FC79A6"/>
    <w:rsid w:val="00FC7A8C"/>
    <w:rsid w:val="00FC7F35"/>
    <w:rsid w:val="00FD0172"/>
    <w:rsid w:val="00FD01DC"/>
    <w:rsid w:val="00FD04F3"/>
    <w:rsid w:val="00FD09A9"/>
    <w:rsid w:val="00FD1373"/>
    <w:rsid w:val="00FD159B"/>
    <w:rsid w:val="00FD15A8"/>
    <w:rsid w:val="00FD162C"/>
    <w:rsid w:val="00FD1820"/>
    <w:rsid w:val="00FD18CA"/>
    <w:rsid w:val="00FD2443"/>
    <w:rsid w:val="00FD2B5D"/>
    <w:rsid w:val="00FD2C9E"/>
    <w:rsid w:val="00FD2F41"/>
    <w:rsid w:val="00FD3344"/>
    <w:rsid w:val="00FD344A"/>
    <w:rsid w:val="00FD36D1"/>
    <w:rsid w:val="00FD3982"/>
    <w:rsid w:val="00FD3D71"/>
    <w:rsid w:val="00FD4357"/>
    <w:rsid w:val="00FD4751"/>
    <w:rsid w:val="00FD499C"/>
    <w:rsid w:val="00FD4BA6"/>
    <w:rsid w:val="00FD5126"/>
    <w:rsid w:val="00FD52DC"/>
    <w:rsid w:val="00FD5560"/>
    <w:rsid w:val="00FD5921"/>
    <w:rsid w:val="00FD5A5A"/>
    <w:rsid w:val="00FD5CB1"/>
    <w:rsid w:val="00FD5D3D"/>
    <w:rsid w:val="00FD5E70"/>
    <w:rsid w:val="00FD6516"/>
    <w:rsid w:val="00FD660B"/>
    <w:rsid w:val="00FD681D"/>
    <w:rsid w:val="00FD726E"/>
    <w:rsid w:val="00FD76B2"/>
    <w:rsid w:val="00FD772E"/>
    <w:rsid w:val="00FD7800"/>
    <w:rsid w:val="00FD7AEE"/>
    <w:rsid w:val="00FD7D57"/>
    <w:rsid w:val="00FE0711"/>
    <w:rsid w:val="00FE0A39"/>
    <w:rsid w:val="00FE152B"/>
    <w:rsid w:val="00FE207B"/>
    <w:rsid w:val="00FE21F1"/>
    <w:rsid w:val="00FE2B2F"/>
    <w:rsid w:val="00FE2BB4"/>
    <w:rsid w:val="00FE2E8E"/>
    <w:rsid w:val="00FE333A"/>
    <w:rsid w:val="00FE3886"/>
    <w:rsid w:val="00FE3C6D"/>
    <w:rsid w:val="00FE3F94"/>
    <w:rsid w:val="00FE3F9F"/>
    <w:rsid w:val="00FE4415"/>
    <w:rsid w:val="00FE4472"/>
    <w:rsid w:val="00FE4EC7"/>
    <w:rsid w:val="00FE500E"/>
    <w:rsid w:val="00FE575B"/>
    <w:rsid w:val="00FE58C3"/>
    <w:rsid w:val="00FE5DE1"/>
    <w:rsid w:val="00FE629D"/>
    <w:rsid w:val="00FE67B8"/>
    <w:rsid w:val="00FE6C60"/>
    <w:rsid w:val="00FE759D"/>
    <w:rsid w:val="00FE75E5"/>
    <w:rsid w:val="00FE7E33"/>
    <w:rsid w:val="00FF0322"/>
    <w:rsid w:val="00FF03C8"/>
    <w:rsid w:val="00FF0673"/>
    <w:rsid w:val="00FF07D3"/>
    <w:rsid w:val="00FF07FC"/>
    <w:rsid w:val="00FF132C"/>
    <w:rsid w:val="00FF14A4"/>
    <w:rsid w:val="00FF1934"/>
    <w:rsid w:val="00FF1C2D"/>
    <w:rsid w:val="00FF2360"/>
    <w:rsid w:val="00FF23AB"/>
    <w:rsid w:val="00FF2B4A"/>
    <w:rsid w:val="00FF2EC5"/>
    <w:rsid w:val="00FF3024"/>
    <w:rsid w:val="00FF31B7"/>
    <w:rsid w:val="00FF352E"/>
    <w:rsid w:val="00FF35DE"/>
    <w:rsid w:val="00FF35E3"/>
    <w:rsid w:val="00FF3650"/>
    <w:rsid w:val="00FF36FA"/>
    <w:rsid w:val="00FF3CA7"/>
    <w:rsid w:val="00FF3FF7"/>
    <w:rsid w:val="00FF4224"/>
    <w:rsid w:val="00FF4D82"/>
    <w:rsid w:val="00FF5706"/>
    <w:rsid w:val="00FF57E6"/>
    <w:rsid w:val="00FF5B74"/>
    <w:rsid w:val="00FF5C02"/>
    <w:rsid w:val="00FF605A"/>
    <w:rsid w:val="00FF6108"/>
    <w:rsid w:val="00FF661C"/>
    <w:rsid w:val="00FF6902"/>
    <w:rsid w:val="00FF693D"/>
    <w:rsid w:val="00FF6974"/>
    <w:rsid w:val="00FF6E06"/>
    <w:rsid w:val="00FF706A"/>
    <w:rsid w:val="00FF7400"/>
    <w:rsid w:val="00FF74E2"/>
    <w:rsid w:val="00FF7632"/>
    <w:rsid w:val="00FF76FA"/>
    <w:rsid w:val="00FF7AA4"/>
    <w:rsid w:val="00FF7D2E"/>
    <w:rsid w:val="00FF7DA9"/>
    <w:rsid w:val="0185D710"/>
    <w:rsid w:val="0319FA94"/>
    <w:rsid w:val="0324C527"/>
    <w:rsid w:val="03262AC2"/>
    <w:rsid w:val="03310F89"/>
    <w:rsid w:val="03588DB2"/>
    <w:rsid w:val="0377E171"/>
    <w:rsid w:val="038C41FA"/>
    <w:rsid w:val="03FF0732"/>
    <w:rsid w:val="04CC5DE5"/>
    <w:rsid w:val="04D2B0FD"/>
    <w:rsid w:val="056D1D17"/>
    <w:rsid w:val="0570D4E6"/>
    <w:rsid w:val="06416D04"/>
    <w:rsid w:val="0652BA10"/>
    <w:rsid w:val="06643B6C"/>
    <w:rsid w:val="06D0EFC5"/>
    <w:rsid w:val="06E75D1F"/>
    <w:rsid w:val="07145FFC"/>
    <w:rsid w:val="0803F428"/>
    <w:rsid w:val="081EEC8A"/>
    <w:rsid w:val="0923B7C9"/>
    <w:rsid w:val="098DBAAD"/>
    <w:rsid w:val="099FD3C4"/>
    <w:rsid w:val="09A523BC"/>
    <w:rsid w:val="09EA9521"/>
    <w:rsid w:val="0A41D1AD"/>
    <w:rsid w:val="0A6139A6"/>
    <w:rsid w:val="0ACAAE8D"/>
    <w:rsid w:val="0B8B6D47"/>
    <w:rsid w:val="0B932DF1"/>
    <w:rsid w:val="0BE08403"/>
    <w:rsid w:val="0BE96714"/>
    <w:rsid w:val="0C942716"/>
    <w:rsid w:val="0CBE38B8"/>
    <w:rsid w:val="0CF7C35B"/>
    <w:rsid w:val="0D0E4B49"/>
    <w:rsid w:val="0D2C71F3"/>
    <w:rsid w:val="0F31A477"/>
    <w:rsid w:val="0F46655E"/>
    <w:rsid w:val="0F760AAC"/>
    <w:rsid w:val="0F8F0769"/>
    <w:rsid w:val="0FB04D2E"/>
    <w:rsid w:val="0FB74FA8"/>
    <w:rsid w:val="0FE1661F"/>
    <w:rsid w:val="0FF58797"/>
    <w:rsid w:val="10721813"/>
    <w:rsid w:val="10DF64C6"/>
    <w:rsid w:val="11E0C612"/>
    <w:rsid w:val="11E4B8A9"/>
    <w:rsid w:val="12008212"/>
    <w:rsid w:val="120C0EF7"/>
    <w:rsid w:val="1219C9CD"/>
    <w:rsid w:val="12812D91"/>
    <w:rsid w:val="1439275F"/>
    <w:rsid w:val="14896B53"/>
    <w:rsid w:val="14983793"/>
    <w:rsid w:val="14B84DCE"/>
    <w:rsid w:val="14E55A64"/>
    <w:rsid w:val="14EF8EBA"/>
    <w:rsid w:val="156FCEFE"/>
    <w:rsid w:val="15AC6E67"/>
    <w:rsid w:val="16A4555D"/>
    <w:rsid w:val="16B58E9F"/>
    <w:rsid w:val="189503DB"/>
    <w:rsid w:val="18A3A78B"/>
    <w:rsid w:val="1973948B"/>
    <w:rsid w:val="19EF0140"/>
    <w:rsid w:val="19FC34B8"/>
    <w:rsid w:val="1A5EB4A1"/>
    <w:rsid w:val="1AC57E7E"/>
    <w:rsid w:val="1B9AFCE6"/>
    <w:rsid w:val="1BFB2D63"/>
    <w:rsid w:val="1C4119B3"/>
    <w:rsid w:val="1CA5CB3F"/>
    <w:rsid w:val="1CC01482"/>
    <w:rsid w:val="1D51C0D6"/>
    <w:rsid w:val="1D999B6B"/>
    <w:rsid w:val="1DD374CD"/>
    <w:rsid w:val="1DDBE51C"/>
    <w:rsid w:val="1E0A168D"/>
    <w:rsid w:val="1E664B55"/>
    <w:rsid w:val="1EA4DD53"/>
    <w:rsid w:val="1FE42FF0"/>
    <w:rsid w:val="206B975B"/>
    <w:rsid w:val="20B89711"/>
    <w:rsid w:val="20C395EB"/>
    <w:rsid w:val="20C8D259"/>
    <w:rsid w:val="20DAD003"/>
    <w:rsid w:val="2106B939"/>
    <w:rsid w:val="2188F44B"/>
    <w:rsid w:val="227549F3"/>
    <w:rsid w:val="22E91261"/>
    <w:rsid w:val="23097ED5"/>
    <w:rsid w:val="231C63F1"/>
    <w:rsid w:val="232EF632"/>
    <w:rsid w:val="23545330"/>
    <w:rsid w:val="23677519"/>
    <w:rsid w:val="246B04A1"/>
    <w:rsid w:val="24AD7AD2"/>
    <w:rsid w:val="24B5252A"/>
    <w:rsid w:val="25075949"/>
    <w:rsid w:val="2563B92E"/>
    <w:rsid w:val="2591502A"/>
    <w:rsid w:val="2662CCA4"/>
    <w:rsid w:val="26AFE9AD"/>
    <w:rsid w:val="27CAE29E"/>
    <w:rsid w:val="27E23943"/>
    <w:rsid w:val="286F1EFE"/>
    <w:rsid w:val="296EA4A2"/>
    <w:rsid w:val="29822798"/>
    <w:rsid w:val="29D6C5C7"/>
    <w:rsid w:val="29EDE2B6"/>
    <w:rsid w:val="2A027FC6"/>
    <w:rsid w:val="2A47F170"/>
    <w:rsid w:val="2AD4C1F9"/>
    <w:rsid w:val="2AE9B1FE"/>
    <w:rsid w:val="2B557F94"/>
    <w:rsid w:val="2BD7E4C5"/>
    <w:rsid w:val="2BDB49FB"/>
    <w:rsid w:val="2BECD18F"/>
    <w:rsid w:val="2BF1550A"/>
    <w:rsid w:val="2C5622E0"/>
    <w:rsid w:val="2C63C009"/>
    <w:rsid w:val="2C89AE9E"/>
    <w:rsid w:val="2CBEE8A8"/>
    <w:rsid w:val="2DEACBE7"/>
    <w:rsid w:val="2E596754"/>
    <w:rsid w:val="2F664D30"/>
    <w:rsid w:val="2F9E8287"/>
    <w:rsid w:val="2FB30BCA"/>
    <w:rsid w:val="2FBB498B"/>
    <w:rsid w:val="307EF0A7"/>
    <w:rsid w:val="30B3DA04"/>
    <w:rsid w:val="30EA3E29"/>
    <w:rsid w:val="3175F8D1"/>
    <w:rsid w:val="31A414A3"/>
    <w:rsid w:val="31A8722C"/>
    <w:rsid w:val="32737291"/>
    <w:rsid w:val="327F3608"/>
    <w:rsid w:val="3295B86B"/>
    <w:rsid w:val="32ED7291"/>
    <w:rsid w:val="33003A41"/>
    <w:rsid w:val="3303202C"/>
    <w:rsid w:val="33BADA35"/>
    <w:rsid w:val="33F7AD7F"/>
    <w:rsid w:val="3559388D"/>
    <w:rsid w:val="3663C5D1"/>
    <w:rsid w:val="367D80EA"/>
    <w:rsid w:val="36E03D2A"/>
    <w:rsid w:val="374203CC"/>
    <w:rsid w:val="378AD18E"/>
    <w:rsid w:val="37E3E6B5"/>
    <w:rsid w:val="37E5989D"/>
    <w:rsid w:val="3813BA18"/>
    <w:rsid w:val="387513A7"/>
    <w:rsid w:val="38E0275C"/>
    <w:rsid w:val="39231A7A"/>
    <w:rsid w:val="39448055"/>
    <w:rsid w:val="394C800E"/>
    <w:rsid w:val="397F0A12"/>
    <w:rsid w:val="397F18F3"/>
    <w:rsid w:val="399ED985"/>
    <w:rsid w:val="3A01A62B"/>
    <w:rsid w:val="3A426378"/>
    <w:rsid w:val="3AEC7F36"/>
    <w:rsid w:val="3B1B4015"/>
    <w:rsid w:val="3B317BF3"/>
    <w:rsid w:val="3B752E0A"/>
    <w:rsid w:val="3BB1BEA5"/>
    <w:rsid w:val="3BC60718"/>
    <w:rsid w:val="3BD4EB42"/>
    <w:rsid w:val="3D0982B4"/>
    <w:rsid w:val="3DCC6F07"/>
    <w:rsid w:val="3E83DB15"/>
    <w:rsid w:val="3F05F439"/>
    <w:rsid w:val="3FB3914D"/>
    <w:rsid w:val="3FF5FFA0"/>
    <w:rsid w:val="40FC0775"/>
    <w:rsid w:val="414C6478"/>
    <w:rsid w:val="4154F2E9"/>
    <w:rsid w:val="420E14D2"/>
    <w:rsid w:val="421ECBE5"/>
    <w:rsid w:val="4273ED39"/>
    <w:rsid w:val="42D1C0C1"/>
    <w:rsid w:val="42DABC82"/>
    <w:rsid w:val="42E26946"/>
    <w:rsid w:val="44515D6E"/>
    <w:rsid w:val="44B61373"/>
    <w:rsid w:val="44FD116E"/>
    <w:rsid w:val="4513D2FC"/>
    <w:rsid w:val="45A38A7F"/>
    <w:rsid w:val="4668CC17"/>
    <w:rsid w:val="46F191DC"/>
    <w:rsid w:val="4754C9BD"/>
    <w:rsid w:val="4757386D"/>
    <w:rsid w:val="4822B146"/>
    <w:rsid w:val="488F35DE"/>
    <w:rsid w:val="4895D6EC"/>
    <w:rsid w:val="48A06C98"/>
    <w:rsid w:val="48C6010E"/>
    <w:rsid w:val="4956A9CF"/>
    <w:rsid w:val="49B3DBF4"/>
    <w:rsid w:val="49C05EF0"/>
    <w:rsid w:val="49ED87E0"/>
    <w:rsid w:val="4ACA53BD"/>
    <w:rsid w:val="4C1545EA"/>
    <w:rsid w:val="4C8501E3"/>
    <w:rsid w:val="4CA4CCB1"/>
    <w:rsid w:val="4CBEF5E9"/>
    <w:rsid w:val="4D01A8A1"/>
    <w:rsid w:val="4DA12933"/>
    <w:rsid w:val="4DC5CEEF"/>
    <w:rsid w:val="4E3F27E0"/>
    <w:rsid w:val="4EEC4A7E"/>
    <w:rsid w:val="4F48C7D8"/>
    <w:rsid w:val="4F491340"/>
    <w:rsid w:val="4F888BDF"/>
    <w:rsid w:val="502CAFEB"/>
    <w:rsid w:val="505B38E1"/>
    <w:rsid w:val="5084CE75"/>
    <w:rsid w:val="51A32754"/>
    <w:rsid w:val="521A0473"/>
    <w:rsid w:val="52226E5A"/>
    <w:rsid w:val="5248FE95"/>
    <w:rsid w:val="5263B08E"/>
    <w:rsid w:val="52B952D3"/>
    <w:rsid w:val="5301D76F"/>
    <w:rsid w:val="53111AA7"/>
    <w:rsid w:val="531F3458"/>
    <w:rsid w:val="540B01A2"/>
    <w:rsid w:val="5418D30F"/>
    <w:rsid w:val="543B93FE"/>
    <w:rsid w:val="545D90F5"/>
    <w:rsid w:val="5470493B"/>
    <w:rsid w:val="5548F426"/>
    <w:rsid w:val="5550321E"/>
    <w:rsid w:val="55844927"/>
    <w:rsid w:val="565084E6"/>
    <w:rsid w:val="5664DE85"/>
    <w:rsid w:val="5665EDFE"/>
    <w:rsid w:val="56899E89"/>
    <w:rsid w:val="56B654D0"/>
    <w:rsid w:val="56DB917E"/>
    <w:rsid w:val="5781349C"/>
    <w:rsid w:val="57910E0E"/>
    <w:rsid w:val="57D798F0"/>
    <w:rsid w:val="58077BD7"/>
    <w:rsid w:val="59C53347"/>
    <w:rsid w:val="5A636F1A"/>
    <w:rsid w:val="5B6CEF82"/>
    <w:rsid w:val="5B7E9E6D"/>
    <w:rsid w:val="5BC66D00"/>
    <w:rsid w:val="5C005CE3"/>
    <w:rsid w:val="5C08B69D"/>
    <w:rsid w:val="5CDFA5FE"/>
    <w:rsid w:val="5D096CA4"/>
    <w:rsid w:val="5D3E2F17"/>
    <w:rsid w:val="5D9C9DC7"/>
    <w:rsid w:val="5E421111"/>
    <w:rsid w:val="5F6AFE5B"/>
    <w:rsid w:val="5F8A571C"/>
    <w:rsid w:val="605CD583"/>
    <w:rsid w:val="6095512A"/>
    <w:rsid w:val="60E95A9B"/>
    <w:rsid w:val="616913DD"/>
    <w:rsid w:val="618F867C"/>
    <w:rsid w:val="635B722E"/>
    <w:rsid w:val="6366F000"/>
    <w:rsid w:val="63EC26C3"/>
    <w:rsid w:val="644D0139"/>
    <w:rsid w:val="65BEEEAA"/>
    <w:rsid w:val="65E1F228"/>
    <w:rsid w:val="66769DBF"/>
    <w:rsid w:val="67C64DE3"/>
    <w:rsid w:val="685D587A"/>
    <w:rsid w:val="68EA08C6"/>
    <w:rsid w:val="68EB163D"/>
    <w:rsid w:val="69288B24"/>
    <w:rsid w:val="6A052327"/>
    <w:rsid w:val="6A7925A7"/>
    <w:rsid w:val="6B135F33"/>
    <w:rsid w:val="6B43E5E9"/>
    <w:rsid w:val="6B4C0C06"/>
    <w:rsid w:val="6B7FF88E"/>
    <w:rsid w:val="6BA3A7C4"/>
    <w:rsid w:val="6BE08688"/>
    <w:rsid w:val="6C3E9770"/>
    <w:rsid w:val="6C67882C"/>
    <w:rsid w:val="6C7F2C01"/>
    <w:rsid w:val="6CEEB2E4"/>
    <w:rsid w:val="6CF49664"/>
    <w:rsid w:val="6D2D1BF3"/>
    <w:rsid w:val="6D37D7FB"/>
    <w:rsid w:val="6D3A7142"/>
    <w:rsid w:val="6DD49B1E"/>
    <w:rsid w:val="6F3105F5"/>
    <w:rsid w:val="6F9DE528"/>
    <w:rsid w:val="6FF53FCD"/>
    <w:rsid w:val="7061F813"/>
    <w:rsid w:val="71640B0F"/>
    <w:rsid w:val="722ABA6E"/>
    <w:rsid w:val="72BA2FC6"/>
    <w:rsid w:val="72CDCEDF"/>
    <w:rsid w:val="72E140CB"/>
    <w:rsid w:val="72E3A900"/>
    <w:rsid w:val="73184FAF"/>
    <w:rsid w:val="73803AF8"/>
    <w:rsid w:val="73FC819E"/>
    <w:rsid w:val="74E6209B"/>
    <w:rsid w:val="759A3927"/>
    <w:rsid w:val="75AF8112"/>
    <w:rsid w:val="75E2DB62"/>
    <w:rsid w:val="75FC8817"/>
    <w:rsid w:val="766C7E2B"/>
    <w:rsid w:val="76843CA4"/>
    <w:rsid w:val="76F6BAC8"/>
    <w:rsid w:val="7755098C"/>
    <w:rsid w:val="7794AD9F"/>
    <w:rsid w:val="779B2434"/>
    <w:rsid w:val="78947C4D"/>
    <w:rsid w:val="789DE540"/>
    <w:rsid w:val="78CD53CD"/>
    <w:rsid w:val="78DDEA1D"/>
    <w:rsid w:val="78E5736F"/>
    <w:rsid w:val="791F4EBC"/>
    <w:rsid w:val="7AA166D5"/>
    <w:rsid w:val="7AA24271"/>
    <w:rsid w:val="7AE1D260"/>
    <w:rsid w:val="7B737895"/>
    <w:rsid w:val="7B8758AE"/>
    <w:rsid w:val="7C19A192"/>
    <w:rsid w:val="7C46B367"/>
    <w:rsid w:val="7C611A46"/>
    <w:rsid w:val="7D0A7647"/>
    <w:rsid w:val="7E503794"/>
    <w:rsid w:val="7EB10BCC"/>
    <w:rsid w:val="7F47F408"/>
    <w:rsid w:val="7F62F5C9"/>
    <w:rsid w:val="7FB3CB16"/>
  </w:rsids>
  <m:mathPr>
    <m:mathFont m:val="Cambria Math"/>
  </m:mathPr>
  <w:themeFontLang w:val="en-AU" w:eastAsia="zh-CN"/>
  <w:clrSchemeMapping w:bg1="light1" w:t1="dark1" w:bg2="light2" w:t2="dark2" w:accent1="accent1" w:accent2="accent2" w:accent3="accent3" w:accent4="accent4" w:accent5="accent5" w:accent6="accent6" w:hyperlink="hyperlink" w:followedHyperlink="followedHyperlink"/>
  <w15:docId w15:val="{DCB0192B-B0F3-4310-B5C3-488E87984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6"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iPriority="1" w:unhideWhenUsed="1" w:qFormat="1"/>
    <w:lsdException w:name="List Bullet" w:uiPriority="1" w:qFormat="1"/>
    <w:lsdException w:name="List Number" w:uiPriority="1" w:qFormat="1"/>
    <w:lsdException w:name="List 2" w:semiHidden="1" w:uiPriority="38" w:unhideWhenUsed="1"/>
    <w:lsdException w:name="List 3" w:semiHidden="1" w:uiPriority="1" w:unhideWhenUsed="1"/>
    <w:lsdException w:name="List 4" w:semiHidden="1" w:unhideWhenUsed="1"/>
    <w:lsdException w:name="List 5" w:semiHidden="1" w:unhideWhenUsed="1"/>
    <w:lsdException w:name="List Bullet 2" w:semiHidden="1" w:uiPriority="1" w:unhideWhenUsed="1"/>
    <w:lsdException w:name="List Bullet 3" w:semiHidden="1" w:uiPriority="1" w:unhideWhenUsed="1"/>
    <w:lsdException w:name="List Bullet 4" w:semiHidden="1" w:unhideWhenUsed="1"/>
    <w:lsdException w:name="List Bullet 5" w:semiHidden="1" w:unhideWhenUsed="1"/>
    <w:lsdException w:name="List Number 2" w:semiHidden="1" w:uiPriority="1" w:unhideWhenUsed="1"/>
    <w:lsdException w:name="List Number 3" w:semiHidden="1" w:uiPriority="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4" w:semiHidden="1"/>
    <w:lsdException w:name="Message Header" w:semiHidden="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2C5C"/>
    <w:pPr>
      <w:spacing w:before="120" w:after="120"/>
    </w:pPr>
    <w:rPr>
      <w:rFonts w:ascii="Gotham Book" w:hAnsi="Gotham Book"/>
    </w:rPr>
  </w:style>
  <w:style w:type="paragraph" w:styleId="Heading1">
    <w:name w:val="heading 1"/>
    <w:basedOn w:val="Normal"/>
    <w:next w:val="Normal"/>
    <w:link w:val="Heading1Char"/>
    <w:qFormat/>
    <w:rsid w:val="00802B5D"/>
    <w:pPr>
      <w:keepNext/>
      <w:keepLines/>
      <w:spacing w:before="480" w:after="240"/>
      <w:outlineLvl w:val="0"/>
    </w:pPr>
    <w:rPr>
      <w:rFonts w:ascii="Clarendon Lt BT" w:hAnsi="Clarendon Lt BT" w:eastAsiaTheme="majorEastAsia" w:cstheme="majorBidi"/>
      <w:bCs/>
      <w:color w:val="007A33"/>
      <w:sz w:val="48"/>
      <w:szCs w:val="28"/>
    </w:rPr>
  </w:style>
  <w:style w:type="paragraph" w:styleId="Heading2">
    <w:name w:val="heading 2"/>
    <w:basedOn w:val="Normal"/>
    <w:next w:val="Normal"/>
    <w:link w:val="Heading2Char"/>
    <w:qFormat/>
    <w:rsid w:val="008F778A"/>
    <w:pPr>
      <w:keepNext/>
      <w:keepLines/>
      <w:spacing w:before="200" w:after="240"/>
      <w:outlineLvl w:val="1"/>
    </w:pPr>
    <w:rPr>
      <w:rFonts w:ascii="Clarendon Lt BT" w:hAnsi="Clarendon Lt BT" w:eastAsiaTheme="majorEastAsia" w:cstheme="majorBidi"/>
      <w:bCs/>
      <w:color w:val="000000" w:themeColor="text1"/>
      <w:sz w:val="32"/>
      <w:szCs w:val="26"/>
    </w:rPr>
  </w:style>
  <w:style w:type="paragraph" w:styleId="Heading3">
    <w:name w:val="heading 3"/>
    <w:basedOn w:val="Normal"/>
    <w:next w:val="Normal"/>
    <w:link w:val="Heading3Char"/>
    <w:qFormat/>
    <w:rsid w:val="00802B5D"/>
    <w:pPr>
      <w:keepNext/>
      <w:keepLines/>
      <w:spacing w:before="200"/>
      <w:outlineLvl w:val="2"/>
    </w:pPr>
    <w:rPr>
      <w:rFonts w:eastAsiaTheme="majorEastAsia" w:cstheme="majorBidi"/>
      <w:b/>
      <w:bCs/>
      <w:color w:val="007A33"/>
      <w:sz w:val="28"/>
    </w:rPr>
  </w:style>
  <w:style w:type="paragraph" w:styleId="Heading4">
    <w:name w:val="heading 4"/>
    <w:basedOn w:val="Normal"/>
    <w:next w:val="Normal"/>
    <w:link w:val="Heading4Char"/>
    <w:qFormat/>
    <w:rsid w:val="00FB5373"/>
    <w:pPr>
      <w:keepNext/>
      <w:keepLines/>
      <w:spacing w:before="200"/>
      <w:outlineLvl w:val="3"/>
    </w:pPr>
    <w:rPr>
      <w:rFonts w:eastAsiaTheme="majorEastAsia" w:cstheme="majorBidi"/>
      <w:b/>
      <w:bCs/>
      <w:iCs/>
      <w:sz w:val="24"/>
    </w:rPr>
  </w:style>
  <w:style w:type="paragraph" w:styleId="Heading5">
    <w:name w:val="heading 5"/>
    <w:basedOn w:val="Normal"/>
    <w:next w:val="Normal"/>
    <w:link w:val="Heading5Char"/>
    <w:qFormat/>
    <w:rsid w:val="00515FD0"/>
    <w:pPr>
      <w:keepNext/>
      <w:keepLines/>
      <w:spacing w:before="200"/>
      <w:outlineLvl w:val="4"/>
    </w:pPr>
    <w:rPr>
      <w:rFonts w:eastAsiaTheme="majorEastAsia" w:cstheme="majorBidi"/>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8F77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4DF4"/>
    <w:rPr>
      <w:rFonts w:ascii="Tahoma" w:hAnsi="Tahoma" w:cs="Tahoma"/>
      <w:sz w:val="16"/>
      <w:szCs w:val="16"/>
    </w:rPr>
  </w:style>
  <w:style w:type="character" w:styleId="BookTitle">
    <w:name w:val="Book Title"/>
    <w:basedOn w:val="DefaultParagraphFont"/>
    <w:uiPriority w:val="33"/>
    <w:semiHidden/>
    <w:rsid w:val="008F778A"/>
    <w:rPr>
      <w:b/>
      <w:bCs/>
      <w:smallCaps/>
      <w:spacing w:val="5"/>
    </w:rPr>
  </w:style>
  <w:style w:type="character" w:customStyle="1" w:styleId="Heading1Char">
    <w:name w:val="Heading 1 Char"/>
    <w:basedOn w:val="DefaultParagraphFont"/>
    <w:link w:val="Heading1"/>
    <w:rsid w:val="00802B5D"/>
    <w:rPr>
      <w:rFonts w:ascii="Clarendon Lt BT" w:hAnsi="Clarendon Lt BT" w:eastAsiaTheme="majorEastAsia" w:cstheme="majorBidi"/>
      <w:bCs/>
      <w:color w:val="007A33"/>
      <w:sz w:val="48"/>
      <w:szCs w:val="28"/>
    </w:rPr>
  </w:style>
  <w:style w:type="paragraph" w:customStyle="1" w:styleId="Contentsheading">
    <w:name w:val="Contents heading"/>
    <w:basedOn w:val="Heading1"/>
    <w:link w:val="ContentsheadingChar"/>
    <w:uiPriority w:val="3"/>
    <w:semiHidden/>
    <w:qFormat/>
    <w:rsid w:val="008F778A"/>
    <w:pPr>
      <w:outlineLvl w:val="9"/>
    </w:pPr>
    <w:rPr>
      <w:rFonts w:ascii="Gotham Light" w:hAnsi="Gotham Light"/>
    </w:rPr>
  </w:style>
  <w:style w:type="character" w:customStyle="1" w:styleId="ContentsheadingChar">
    <w:name w:val="Contents heading Char"/>
    <w:basedOn w:val="Heading1Char"/>
    <w:link w:val="Contentsheading"/>
    <w:uiPriority w:val="3"/>
    <w:semiHidden/>
    <w:rsid w:val="00B43C8B"/>
    <w:rPr>
      <w:rFonts w:ascii="Gotham Light" w:hAnsi="Gotham Light" w:eastAsiaTheme="majorEastAsia" w:cstheme="majorBidi"/>
      <w:bCs/>
      <w:color w:val="4F758B"/>
      <w:sz w:val="48"/>
      <w:szCs w:val="28"/>
    </w:rPr>
  </w:style>
  <w:style w:type="paragraph" w:customStyle="1" w:styleId="DisclaimerBodyMasterPages">
    <w:name w:val="Disclaimer Body (Master Pages)"/>
    <w:basedOn w:val="Normal"/>
    <w:uiPriority w:val="99"/>
    <w:semiHidden/>
    <w:rsid w:val="008F778A"/>
    <w:pPr>
      <w:suppressAutoHyphens/>
      <w:autoSpaceDE w:val="0"/>
      <w:autoSpaceDN w:val="0"/>
      <w:adjustRightInd w:val="0"/>
      <w:spacing w:after="28" w:line="288" w:lineRule="auto"/>
      <w:textAlignment w:val="center"/>
    </w:pPr>
    <w:rPr>
      <w:rFonts w:ascii="Gotham Light" w:hAnsi="Gotham Light" w:cs="Gotham-Light"/>
      <w:color w:val="000000"/>
      <w:sz w:val="16"/>
      <w:szCs w:val="16"/>
      <w:u w:color="00AFFF"/>
      <w:lang w:val="en-GB"/>
    </w:rPr>
  </w:style>
  <w:style w:type="paragraph" w:customStyle="1" w:styleId="DisclaimerBoldMasterPages">
    <w:name w:val="Disclaimer Bold (Master Pages)"/>
    <w:basedOn w:val="Normal"/>
    <w:uiPriority w:val="99"/>
    <w:semiHidden/>
    <w:rsid w:val="008F778A"/>
    <w:pPr>
      <w:suppressAutoHyphens/>
      <w:autoSpaceDE w:val="0"/>
      <w:autoSpaceDN w:val="0"/>
      <w:adjustRightInd w:val="0"/>
      <w:spacing w:after="28" w:line="288" w:lineRule="auto"/>
      <w:textAlignment w:val="center"/>
    </w:pPr>
    <w:rPr>
      <w:rFonts w:cs="Gotham-Book"/>
      <w:color w:val="000000"/>
      <w:sz w:val="16"/>
      <w:szCs w:val="16"/>
      <w:lang w:val="en-GB"/>
    </w:rPr>
  </w:style>
  <w:style w:type="character" w:styleId="Emphasis">
    <w:name w:val="Emphasis"/>
    <w:basedOn w:val="DefaultParagraphFont"/>
    <w:uiPriority w:val="20"/>
    <w:semiHidden/>
    <w:rsid w:val="008F778A"/>
    <w:rPr>
      <w:i/>
      <w:iCs/>
    </w:rPr>
  </w:style>
  <w:style w:type="paragraph" w:styleId="Footer">
    <w:name w:val="footer"/>
    <w:basedOn w:val="Normal"/>
    <w:link w:val="FooterChar"/>
    <w:uiPriority w:val="99"/>
    <w:semiHidden/>
    <w:rsid w:val="008F778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74DF4"/>
    <w:rPr>
      <w:rFonts w:ascii="Gotham Book" w:hAnsi="Gotham Book"/>
    </w:rPr>
  </w:style>
  <w:style w:type="paragraph" w:styleId="Header">
    <w:name w:val="header"/>
    <w:basedOn w:val="Normal"/>
    <w:link w:val="HeaderChar"/>
    <w:uiPriority w:val="99"/>
    <w:semiHidden/>
    <w:rsid w:val="008F778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74DF4"/>
    <w:rPr>
      <w:rFonts w:ascii="Gotham Book" w:hAnsi="Gotham Book"/>
    </w:rPr>
  </w:style>
  <w:style w:type="character" w:customStyle="1" w:styleId="Heading2Char">
    <w:name w:val="Heading 2 Char"/>
    <w:basedOn w:val="DefaultParagraphFont"/>
    <w:link w:val="Heading2"/>
    <w:rsid w:val="006458F5"/>
    <w:rPr>
      <w:rFonts w:ascii="Clarendon Lt BT" w:hAnsi="Clarendon Lt BT" w:eastAsiaTheme="majorEastAsia" w:cstheme="majorBidi"/>
      <w:bCs/>
      <w:color w:val="000000" w:themeColor="text1"/>
      <w:sz w:val="32"/>
      <w:szCs w:val="26"/>
    </w:rPr>
  </w:style>
  <w:style w:type="character" w:customStyle="1" w:styleId="Heading3Char">
    <w:name w:val="Heading 3 Char"/>
    <w:basedOn w:val="DefaultParagraphFont"/>
    <w:link w:val="Heading3"/>
    <w:rsid w:val="00802B5D"/>
    <w:rPr>
      <w:rFonts w:ascii="Gotham Book" w:hAnsi="Gotham Book" w:eastAsiaTheme="majorEastAsia" w:cstheme="majorBidi"/>
      <w:b/>
      <w:bCs/>
      <w:color w:val="007A33"/>
      <w:sz w:val="28"/>
    </w:rPr>
  </w:style>
  <w:style w:type="character" w:customStyle="1" w:styleId="Heading4Char">
    <w:name w:val="Heading 4 Char"/>
    <w:basedOn w:val="DefaultParagraphFont"/>
    <w:link w:val="Heading4"/>
    <w:rsid w:val="00FB5373"/>
    <w:rPr>
      <w:rFonts w:ascii="Gotham Book" w:hAnsi="Gotham Book" w:eastAsiaTheme="majorEastAsia" w:cstheme="majorBidi"/>
      <w:b/>
      <w:bCs/>
      <w:iCs/>
      <w:sz w:val="24"/>
    </w:rPr>
  </w:style>
  <w:style w:type="character" w:customStyle="1" w:styleId="Heading5Char">
    <w:name w:val="Heading 5 Char"/>
    <w:basedOn w:val="DefaultParagraphFont"/>
    <w:link w:val="Heading5"/>
    <w:rsid w:val="00515FD0"/>
    <w:rPr>
      <w:rFonts w:ascii="Gotham Book" w:hAnsi="Gotham Book" w:eastAsiaTheme="majorEastAsia" w:cstheme="majorBidi"/>
      <w:b/>
      <w:bCs/>
      <w:szCs w:val="28"/>
    </w:rPr>
  </w:style>
  <w:style w:type="character" w:styleId="Hyperlink">
    <w:name w:val="Hyperlink"/>
    <w:basedOn w:val="DefaultParagraphFont"/>
    <w:uiPriority w:val="99"/>
    <w:rsid w:val="002D3309"/>
    <w:rPr>
      <w:rFonts w:ascii="Gotham Book" w:hAnsi="Gotham Book" w:cs="Gotham-Book"/>
      <w:u w:val="single"/>
    </w:rPr>
  </w:style>
  <w:style w:type="character" w:styleId="IntenseEmphasis">
    <w:name w:val="Intense Emphasis"/>
    <w:basedOn w:val="DefaultParagraphFont"/>
    <w:uiPriority w:val="21"/>
    <w:semiHidden/>
    <w:rsid w:val="008F778A"/>
    <w:rPr>
      <w:b/>
      <w:bCs/>
      <w:i/>
      <w:iCs/>
      <w:color w:val="4F81BD" w:themeColor="accent1"/>
    </w:rPr>
  </w:style>
  <w:style w:type="paragraph" w:styleId="IntenseQuote">
    <w:name w:val="Intense Quote"/>
    <w:basedOn w:val="Normal"/>
    <w:next w:val="Normal"/>
    <w:link w:val="IntenseQuoteChar"/>
    <w:uiPriority w:val="30"/>
    <w:semiHidden/>
    <w:rsid w:val="008F778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D74DF4"/>
    <w:rPr>
      <w:rFonts w:ascii="Gotham Book" w:hAnsi="Gotham Book"/>
      <w:b/>
      <w:bCs/>
      <w:i/>
      <w:iCs/>
      <w:color w:val="4F81BD" w:themeColor="accent1"/>
    </w:rPr>
  </w:style>
  <w:style w:type="character" w:styleId="IntenseReference">
    <w:name w:val="Intense Reference"/>
    <w:basedOn w:val="DefaultParagraphFont"/>
    <w:uiPriority w:val="32"/>
    <w:semiHidden/>
    <w:rsid w:val="008F778A"/>
    <w:rPr>
      <w:b/>
      <w:bCs/>
      <w:smallCaps/>
      <w:color w:val="C0504D" w:themeColor="accent2"/>
      <w:spacing w:val="5"/>
      <w:u w:val="single"/>
    </w:rPr>
  </w:style>
  <w:style w:type="paragraph" w:styleId="ListParagraph">
    <w:name w:val="List Paragraph"/>
    <w:basedOn w:val="Normal"/>
    <w:uiPriority w:val="34"/>
    <w:qFormat/>
    <w:rsid w:val="008F778A"/>
    <w:pPr>
      <w:ind w:left="720"/>
      <w:contextualSpacing/>
    </w:pPr>
  </w:style>
  <w:style w:type="numbering" w:customStyle="1" w:styleId="ListBullets">
    <w:name w:val="ListBullets"/>
    <w:uiPriority w:val="99"/>
    <w:rsid w:val="00C53321"/>
    <w:pPr>
      <w:numPr>
        <w:numId w:val="1"/>
      </w:numPr>
    </w:pPr>
  </w:style>
  <w:style w:type="paragraph" w:customStyle="1" w:styleId="Numberedheading1">
    <w:name w:val="Numbered heading 1"/>
    <w:basedOn w:val="Heading1"/>
    <w:uiPriority w:val="1"/>
    <w:qFormat/>
    <w:rsid w:val="005E49CB"/>
    <w:pPr>
      <w:numPr>
        <w:numId w:val="11"/>
      </w:numPr>
      <w:ind w:left="680" w:hanging="680"/>
    </w:pPr>
  </w:style>
  <w:style w:type="paragraph" w:customStyle="1" w:styleId="Numberedheading2">
    <w:name w:val="Numbered heading 2"/>
    <w:basedOn w:val="Heading2"/>
    <w:next w:val="Normal"/>
    <w:uiPriority w:val="1"/>
    <w:qFormat/>
    <w:rsid w:val="0030657C"/>
    <w:pPr>
      <w:numPr>
        <w:numId w:val="2"/>
      </w:numPr>
      <w:ind w:left="357" w:hanging="357"/>
    </w:pPr>
    <w:rPr>
      <w:bCs w:val="0"/>
    </w:rPr>
  </w:style>
  <w:style w:type="paragraph" w:customStyle="1" w:styleId="Numberedheading3">
    <w:name w:val="Numbered heading 3"/>
    <w:basedOn w:val="Heading3"/>
    <w:uiPriority w:val="1"/>
    <w:qFormat/>
    <w:rsid w:val="0030657C"/>
    <w:pPr>
      <w:numPr>
        <w:numId w:val="3"/>
      </w:numPr>
      <w:ind w:left="357" w:hanging="357"/>
    </w:pPr>
  </w:style>
  <w:style w:type="paragraph" w:customStyle="1" w:styleId="Numberedheading4">
    <w:name w:val="Numbered heading 4"/>
    <w:basedOn w:val="Heading4"/>
    <w:uiPriority w:val="1"/>
    <w:qFormat/>
    <w:rsid w:val="0030657C"/>
    <w:pPr>
      <w:numPr>
        <w:numId w:val="4"/>
      </w:numPr>
      <w:ind w:left="357" w:hanging="357"/>
    </w:pPr>
  </w:style>
  <w:style w:type="paragraph" w:customStyle="1" w:styleId="Numberedheading5">
    <w:name w:val="Numbered heading 5"/>
    <w:basedOn w:val="Heading5"/>
    <w:uiPriority w:val="1"/>
    <w:qFormat/>
    <w:rsid w:val="0030657C"/>
    <w:pPr>
      <w:numPr>
        <w:numId w:val="5"/>
      </w:numPr>
      <w:ind w:left="357" w:hanging="357"/>
    </w:pPr>
  </w:style>
  <w:style w:type="character" w:styleId="PlaceholderText">
    <w:name w:val="Placeholder Text"/>
    <w:basedOn w:val="DefaultParagraphFont"/>
    <w:uiPriority w:val="99"/>
    <w:semiHidden/>
    <w:rsid w:val="008F778A"/>
    <w:rPr>
      <w:color w:val="808080"/>
    </w:rPr>
  </w:style>
  <w:style w:type="paragraph" w:styleId="Quote">
    <w:name w:val="Quote"/>
    <w:basedOn w:val="Normal"/>
    <w:next w:val="Normal"/>
    <w:link w:val="QuoteChar"/>
    <w:uiPriority w:val="29"/>
    <w:semiHidden/>
    <w:rsid w:val="008F778A"/>
    <w:rPr>
      <w:i/>
      <w:iCs/>
      <w:color w:val="000000" w:themeColor="text1"/>
    </w:rPr>
  </w:style>
  <w:style w:type="character" w:customStyle="1" w:styleId="QuoteChar">
    <w:name w:val="Quote Char"/>
    <w:basedOn w:val="DefaultParagraphFont"/>
    <w:link w:val="Quote"/>
    <w:uiPriority w:val="29"/>
    <w:semiHidden/>
    <w:rsid w:val="00D74DF4"/>
    <w:rPr>
      <w:rFonts w:ascii="Gotham Book" w:hAnsi="Gotham Book"/>
      <w:i/>
      <w:iCs/>
      <w:color w:val="000000" w:themeColor="text1"/>
    </w:rPr>
  </w:style>
  <w:style w:type="character" w:styleId="Strong">
    <w:name w:val="Strong"/>
    <w:basedOn w:val="DefaultParagraphFont"/>
    <w:uiPriority w:val="22"/>
    <w:semiHidden/>
    <w:rsid w:val="008F778A"/>
    <w:rPr>
      <w:rFonts w:ascii="Gotham Book" w:hAnsi="Gotham Book"/>
      <w:b/>
      <w:bCs/>
    </w:rPr>
  </w:style>
  <w:style w:type="paragraph" w:styleId="Subtitle">
    <w:name w:val="Subtitle"/>
    <w:basedOn w:val="Normal"/>
    <w:next w:val="Normal"/>
    <w:link w:val="SubtitleChar"/>
    <w:uiPriority w:val="2"/>
    <w:qFormat/>
    <w:rsid w:val="004937AA"/>
    <w:pPr>
      <w:numPr>
        <w:ilvl w:val="1"/>
      </w:numPr>
    </w:pPr>
    <w:rPr>
      <w:rFonts w:ascii="Clarendon BT" w:hAnsi="Clarendon BT"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2"/>
    <w:rsid w:val="00D74DF4"/>
    <w:rPr>
      <w:rFonts w:ascii="Clarendon BT" w:hAnsi="Clarendon BT" w:eastAsiaTheme="majorEastAsia" w:cstheme="majorBidi"/>
      <w:iCs/>
      <w:color w:val="000000" w:themeColor="text1"/>
      <w:spacing w:val="15"/>
      <w:sz w:val="24"/>
      <w:szCs w:val="24"/>
    </w:rPr>
  </w:style>
  <w:style w:type="character" w:styleId="SubtleEmphasis">
    <w:name w:val="Subtle Emphasis"/>
    <w:basedOn w:val="DefaultParagraphFont"/>
    <w:uiPriority w:val="19"/>
    <w:semiHidden/>
    <w:rsid w:val="008F778A"/>
    <w:rPr>
      <w:rFonts w:ascii="Clarendon Lt BT" w:hAnsi="Clarendon Lt BT"/>
      <w:i/>
      <w:iCs/>
      <w:color w:val="808080" w:themeColor="text1" w:themeTint="7F"/>
    </w:rPr>
  </w:style>
  <w:style w:type="character" w:styleId="SubtleReference">
    <w:name w:val="Subtle Reference"/>
    <w:basedOn w:val="DefaultParagraphFont"/>
    <w:uiPriority w:val="31"/>
    <w:semiHidden/>
    <w:rsid w:val="008F778A"/>
    <w:rPr>
      <w:smallCaps/>
      <w:color w:val="C0504D" w:themeColor="accent2"/>
      <w:u w:val="single"/>
    </w:rPr>
  </w:style>
  <w:style w:type="paragraph" w:customStyle="1" w:styleId="TableBody">
    <w:name w:val="Table Body"/>
    <w:basedOn w:val="Normal"/>
    <w:uiPriority w:val="4"/>
    <w:qFormat/>
    <w:rsid w:val="00D04151"/>
    <w:pPr>
      <w:spacing w:line="240" w:lineRule="auto"/>
    </w:pPr>
    <w:rPr>
      <w:color w:val="000000" w:themeColor="text1"/>
    </w:rPr>
  </w:style>
  <w:style w:type="table" w:styleId="TableGrid">
    <w:name w:val="Table Grid"/>
    <w:basedOn w:val="TableNormal"/>
    <w:uiPriority w:val="59"/>
    <w:rsid w:val="008F77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autoRedefine/>
    <w:uiPriority w:val="4"/>
    <w:qFormat/>
    <w:rsid w:val="0054645E"/>
    <w:pPr>
      <w:framePr w:hSpace="180" w:wrap="around" w:vAnchor="text" w:hAnchor="text" w:y="1"/>
      <w:spacing w:line="240" w:lineRule="auto"/>
      <w:suppressOverlap/>
      <w:jc w:val="center"/>
    </w:pPr>
    <w:rPr>
      <w:rFonts w:ascii="Gotham Medium" w:hAnsi="Gotham Medium"/>
      <w:color w:val="FFFFFF" w:themeColor="background1"/>
      <w:lang w:eastAsia="en-AU"/>
    </w:rPr>
  </w:style>
  <w:style w:type="paragraph" w:styleId="Title">
    <w:name w:val="Title"/>
    <w:basedOn w:val="Heading1"/>
    <w:next w:val="Normal"/>
    <w:link w:val="TitleChar"/>
    <w:uiPriority w:val="1"/>
    <w:qFormat/>
    <w:rsid w:val="004B2C53"/>
    <w:pPr>
      <w:spacing w:before="0" w:after="300" w:line="240" w:lineRule="auto"/>
      <w:contextualSpacing/>
    </w:pPr>
    <w:rPr>
      <w:color w:val="FFFFFF" w:themeColor="background1"/>
      <w:spacing w:val="5"/>
      <w:kern w:val="28"/>
      <w:sz w:val="68"/>
      <w:szCs w:val="52"/>
    </w:rPr>
  </w:style>
  <w:style w:type="character" w:customStyle="1" w:styleId="TitleChar">
    <w:name w:val="Title Char"/>
    <w:basedOn w:val="DefaultParagraphFont"/>
    <w:link w:val="Title"/>
    <w:uiPriority w:val="1"/>
    <w:rsid w:val="00D74DF4"/>
    <w:rPr>
      <w:rFonts w:ascii="Clarendon Lt BT" w:hAnsi="Clarendon Lt BT" w:eastAsiaTheme="majorEastAsia" w:cstheme="majorBidi"/>
      <w:bCs/>
      <w:color w:val="FFFFFF" w:themeColor="background1"/>
      <w:spacing w:val="5"/>
      <w:kern w:val="28"/>
      <w:sz w:val="68"/>
      <w:szCs w:val="52"/>
    </w:rPr>
  </w:style>
  <w:style w:type="paragraph" w:styleId="TOC1">
    <w:name w:val="toc 1"/>
    <w:basedOn w:val="Normal"/>
    <w:next w:val="Normal"/>
    <w:autoRedefine/>
    <w:uiPriority w:val="39"/>
    <w:rsid w:val="00B053AE"/>
    <w:pPr>
      <w:tabs>
        <w:tab w:val="left" w:pos="350"/>
        <w:tab w:val="right" w:leader="dot" w:pos="9639"/>
      </w:tabs>
      <w:spacing w:after="100" w:line="240" w:lineRule="auto"/>
    </w:pPr>
  </w:style>
  <w:style w:type="paragraph" w:styleId="TOC2">
    <w:name w:val="toc 2"/>
    <w:basedOn w:val="Normal"/>
    <w:next w:val="Normal"/>
    <w:autoRedefine/>
    <w:uiPriority w:val="39"/>
    <w:rsid w:val="004D4954"/>
    <w:pPr>
      <w:tabs>
        <w:tab w:val="left" w:pos="896"/>
        <w:tab w:val="right" w:leader="dot" w:pos="9639"/>
      </w:tabs>
      <w:spacing w:after="100"/>
      <w:ind w:left="357"/>
    </w:pPr>
  </w:style>
  <w:style w:type="paragraph" w:styleId="TOC3">
    <w:name w:val="toc 3"/>
    <w:basedOn w:val="Normal"/>
    <w:next w:val="Normal"/>
    <w:autoRedefine/>
    <w:uiPriority w:val="39"/>
    <w:rsid w:val="00632295"/>
    <w:pPr>
      <w:tabs>
        <w:tab w:val="right" w:leader="dot" w:pos="9639"/>
      </w:tabs>
      <w:spacing w:after="100"/>
      <w:ind w:left="357"/>
    </w:pPr>
    <w:rPr>
      <w:noProof/>
      <w:lang w:val="en-US"/>
    </w:rPr>
  </w:style>
  <w:style w:type="paragraph" w:styleId="TOC4">
    <w:name w:val="toc 4"/>
    <w:basedOn w:val="Normal"/>
    <w:next w:val="Normal"/>
    <w:autoRedefine/>
    <w:uiPriority w:val="6"/>
    <w:semiHidden/>
    <w:rsid w:val="008F778A"/>
    <w:pPr>
      <w:tabs>
        <w:tab w:val="right" w:leader="dot" w:pos="9639"/>
      </w:tabs>
      <w:spacing w:after="100"/>
      <w:ind w:left="660"/>
    </w:pPr>
  </w:style>
  <w:style w:type="table" w:customStyle="1" w:styleId="TableGrid1">
    <w:name w:val="Table Grid1"/>
    <w:basedOn w:val="TableNormal"/>
    <w:next w:val="TableGrid"/>
    <w:uiPriority w:val="59"/>
    <w:rsid w:val="008F77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Bullets1">
    <w:name w:val="ListBullets1"/>
    <w:uiPriority w:val="99"/>
    <w:rsid w:val="008F778A"/>
  </w:style>
  <w:style w:type="table" w:customStyle="1" w:styleId="TableGrid2">
    <w:name w:val="Table Grid2"/>
    <w:basedOn w:val="TableNormal"/>
    <w:next w:val="TableGrid"/>
    <w:uiPriority w:val="59"/>
    <w:rsid w:val="003065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sclaimerHeadMasterPages">
    <w:name w:val="Disclaimer Head (Master Pages)"/>
    <w:basedOn w:val="Normal"/>
    <w:uiPriority w:val="99"/>
    <w:semiHidden/>
    <w:rsid w:val="004C0FF9"/>
    <w:pPr>
      <w:suppressAutoHyphens/>
      <w:autoSpaceDE w:val="0"/>
      <w:autoSpaceDN w:val="0"/>
      <w:adjustRightInd w:val="0"/>
      <w:spacing w:after="28" w:line="288" w:lineRule="auto"/>
      <w:textAlignment w:val="center"/>
    </w:pPr>
    <w:rPr>
      <w:rFonts w:cs="Gotham-Book"/>
      <w:color w:val="000000"/>
      <w:sz w:val="16"/>
      <w:szCs w:val="16"/>
      <w:lang w:val="en-GB"/>
    </w:rPr>
  </w:style>
  <w:style w:type="paragraph" w:customStyle="1" w:styleId="Referencetext">
    <w:name w:val="Reference text"/>
    <w:basedOn w:val="Normal"/>
    <w:uiPriority w:val="4"/>
    <w:qFormat/>
    <w:rsid w:val="00544277"/>
    <w:pPr>
      <w:numPr>
        <w:numId w:val="6"/>
      </w:numPr>
      <w:autoSpaceDE w:val="0"/>
      <w:autoSpaceDN w:val="0"/>
      <w:adjustRightInd w:val="0"/>
      <w:spacing w:line="240" w:lineRule="auto"/>
    </w:pPr>
    <w:rPr>
      <w:rFonts w:eastAsia="Calibri" w:cs="Arial"/>
      <w:iCs/>
      <w:sz w:val="18"/>
      <w:szCs w:val="20"/>
      <w:lang w:eastAsia="en-AU"/>
    </w:rPr>
  </w:style>
  <w:style w:type="paragraph" w:styleId="Caption">
    <w:name w:val="caption"/>
    <w:basedOn w:val="Normal"/>
    <w:next w:val="Normal"/>
    <w:uiPriority w:val="35"/>
    <w:semiHidden/>
    <w:qFormat/>
    <w:rsid w:val="00673424"/>
    <w:pPr>
      <w:spacing w:line="240" w:lineRule="auto"/>
    </w:pPr>
    <w:rPr>
      <w:b/>
      <w:bCs/>
      <w:color w:val="4F81BD" w:themeColor="accent1"/>
      <w:sz w:val="18"/>
      <w:szCs w:val="18"/>
    </w:rPr>
  </w:style>
  <w:style w:type="paragraph" w:styleId="EndnoteText">
    <w:name w:val="endnote text"/>
    <w:basedOn w:val="Normal"/>
    <w:link w:val="EndnoteTextChar"/>
    <w:uiPriority w:val="99"/>
    <w:semiHidden/>
    <w:rsid w:val="008A0D75"/>
    <w:pPr>
      <w:spacing w:after="60" w:line="240" w:lineRule="auto"/>
    </w:pPr>
    <w:rPr>
      <w:sz w:val="18"/>
      <w:szCs w:val="20"/>
    </w:rPr>
  </w:style>
  <w:style w:type="character" w:customStyle="1" w:styleId="EndnoteTextChar">
    <w:name w:val="Endnote Text Char"/>
    <w:basedOn w:val="DefaultParagraphFont"/>
    <w:link w:val="EndnoteText"/>
    <w:uiPriority w:val="99"/>
    <w:semiHidden/>
    <w:rsid w:val="00D74DF4"/>
    <w:rPr>
      <w:rFonts w:ascii="Gotham Book" w:hAnsi="Gotham Book"/>
      <w:sz w:val="18"/>
      <w:szCs w:val="20"/>
    </w:rPr>
  </w:style>
  <w:style w:type="paragraph" w:styleId="TOCHeading">
    <w:name w:val="TOC Heading"/>
    <w:basedOn w:val="Heading1"/>
    <w:next w:val="Normal"/>
    <w:link w:val="TOCHeadingChar"/>
    <w:uiPriority w:val="39"/>
    <w:semiHidden/>
    <w:rsid w:val="004E5265"/>
    <w:pPr>
      <w:outlineLvl w:val="9"/>
    </w:pPr>
  </w:style>
  <w:style w:type="character" w:customStyle="1" w:styleId="TOCHeadingChar">
    <w:name w:val="TOC Heading Char"/>
    <w:basedOn w:val="Heading1Char"/>
    <w:link w:val="TOCHeading"/>
    <w:uiPriority w:val="39"/>
    <w:semiHidden/>
    <w:rsid w:val="00D74DF4"/>
    <w:rPr>
      <w:rFonts w:ascii="Clarendon Lt BT" w:hAnsi="Clarendon Lt BT" w:eastAsiaTheme="majorEastAsia" w:cstheme="majorBidi"/>
      <w:bCs/>
      <w:color w:val="4F758B"/>
      <w:sz w:val="48"/>
      <w:szCs w:val="28"/>
    </w:rPr>
  </w:style>
  <w:style w:type="character" w:styleId="FollowedHyperlink">
    <w:name w:val="FollowedHyperlink"/>
    <w:basedOn w:val="DefaultParagraphFont"/>
    <w:uiPriority w:val="99"/>
    <w:semiHidden/>
    <w:rsid w:val="0015401E"/>
    <w:rPr>
      <w:color w:val="800080" w:themeColor="followedHyperlink"/>
      <w:u w:val="single"/>
    </w:rPr>
  </w:style>
  <w:style w:type="table" w:customStyle="1" w:styleId="Style1">
    <w:name w:val="Style1"/>
    <w:basedOn w:val="TableNormal"/>
    <w:uiPriority w:val="99"/>
    <w:rsid w:val="00A52FE0"/>
    <w:pPr>
      <w:spacing w:before="60" w:after="60"/>
    </w:pPr>
    <w:rPr>
      <w:rFonts w:ascii="Gotham Book" w:hAnsi="Gotham Book"/>
    </w:rPr>
    <w:tblPr>
      <w:tblStyleRowBandSize w:val="1"/>
    </w:tblPr>
    <w:tcPr>
      <w:shd w:val="clear" w:color="auto" w:fill="FFFFFF" w:themeFill="background1"/>
    </w:tcPr>
    <w:tblStylePr w:type="firstRow">
      <w:pPr>
        <w:wordWrap/>
        <w:spacing w:before="120" w:beforeLines="0" w:beforeAutospacing="0" w:after="120" w:afterLines="0" w:afterAutospacing="0" w:line="276" w:lineRule="auto"/>
        <w:contextualSpacing w:val="0"/>
      </w:pPr>
      <w:rPr>
        <w:rFonts w:ascii="Gotham Book" w:hAnsi="Gotham Book"/>
        <w:b/>
        <w:color w:val="FFFFFF" w:themeColor="background1"/>
        <w:sz w:val="22"/>
      </w:rPr>
      <w:tblPr/>
      <w:tcPr>
        <w:tcBorders>
          <w:top w:val="nil"/>
          <w:left w:val="nil"/>
          <w:bottom w:val="nil"/>
          <w:right w:val="nil"/>
          <w:insideH w:val="nil"/>
          <w:insideV w:val="nil"/>
          <w:tl2br w:val="nil"/>
          <w:tr2bl w:val="nil"/>
        </w:tcBorders>
        <w:shd w:val="clear" w:color="auto" w:fill="007A33"/>
      </w:tcPr>
    </w:tblStylePr>
    <w:tblStylePr w:type="band1Horz">
      <w:rPr>
        <w:rFonts w:ascii="Gotham Book" w:hAnsi="Gotham Book"/>
        <w:sz w:val="22"/>
      </w:rPr>
      <w:tblPr/>
      <w:tcPr>
        <w:tcBorders>
          <w:top w:val="nil"/>
          <w:left w:val="nil"/>
          <w:bottom w:val="nil"/>
          <w:right w:val="nil"/>
          <w:insideH w:val="nil"/>
          <w:insideV w:val="nil"/>
          <w:tl2br w:val="nil"/>
          <w:tr2bl w:val="nil"/>
        </w:tcBorders>
        <w:shd w:val="clear" w:color="auto" w:fill="DBE5F1"/>
      </w:tcPr>
    </w:tblStylePr>
  </w:style>
  <w:style w:type="paragraph" w:customStyle="1" w:styleId="Shadedbackground">
    <w:name w:val="Shaded background"/>
    <w:basedOn w:val="Normal"/>
    <w:uiPriority w:val="2"/>
    <w:qFormat/>
    <w:rsid w:val="00010421"/>
    <w:pPr>
      <w:pBdr>
        <w:top w:val="single" w:sz="4" w:space="6" w:color="DBE5F1"/>
        <w:left w:val="single" w:sz="4" w:space="6" w:color="DBE5F1"/>
        <w:bottom w:val="single" w:sz="4" w:space="6" w:color="DBE5F1"/>
        <w:right w:val="single" w:sz="4" w:space="6" w:color="DBE5F1"/>
      </w:pBdr>
      <w:shd w:val="clear" w:color="auto" w:fill="DBE5F1"/>
    </w:pPr>
  </w:style>
  <w:style w:type="paragraph" w:customStyle="1" w:styleId="Numberedheading22ndlevel">
    <w:name w:val="Numbered heading 2 (2nd level)"/>
    <w:basedOn w:val="Heading2"/>
    <w:next w:val="Normal"/>
    <w:uiPriority w:val="2"/>
    <w:qFormat/>
    <w:rsid w:val="005E49CB"/>
    <w:pPr>
      <w:numPr>
        <w:ilvl w:val="1"/>
        <w:numId w:val="11"/>
      </w:numPr>
      <w:ind w:left="680" w:hanging="680"/>
    </w:pPr>
    <w:rPr>
      <w:color w:val="auto"/>
    </w:rPr>
  </w:style>
  <w:style w:type="numbering" w:customStyle="1" w:styleId="Numberingmultilevelsubhead">
    <w:name w:val="Numbering (multi level sub head)"/>
    <w:uiPriority w:val="99"/>
    <w:rsid w:val="00C07EAC"/>
    <w:pPr>
      <w:numPr>
        <w:numId w:val="10"/>
      </w:numPr>
    </w:pPr>
  </w:style>
  <w:style w:type="paragraph" w:customStyle="1" w:styleId="Secondarytitle">
    <w:name w:val="Secondary title"/>
    <w:basedOn w:val="Title"/>
    <w:uiPriority w:val="2"/>
    <w:qFormat/>
    <w:rsid w:val="00A317A0"/>
    <w:pPr>
      <w:pBdr>
        <w:top w:val="single" w:sz="12" w:space="7" w:color="FFFFFF" w:themeColor="background1"/>
      </w:pBdr>
      <w:spacing w:before="300"/>
    </w:pPr>
    <w:rPr>
      <w:rFonts w:ascii="Gotham Book" w:hAnsi="Gotham Book"/>
      <w:bCs w:val="0"/>
      <w:sz w:val="40"/>
      <w:szCs w:val="40"/>
    </w:rPr>
  </w:style>
  <w:style w:type="table" w:customStyle="1" w:styleId="Style2">
    <w:name w:val="Style2"/>
    <w:basedOn w:val="TableNormal"/>
    <w:uiPriority w:val="99"/>
    <w:rsid w:val="00802B5D"/>
    <w:pPr>
      <w:spacing w:before="60" w:after="60" w:line="240" w:lineRule="auto"/>
    </w:pPr>
    <w:rPr>
      <w:rFonts w:ascii="Gotham Book" w:hAnsi="Gotham Book"/>
    </w:rPr>
    <w:tblPr>
      <w:tblStyleRowBandSize w:val="1"/>
      <w:tblBorders>
        <w:top w:val="single" w:sz="4" w:space="0" w:color="auto"/>
        <w:left w:val="single" w:sz="4" w:space="0" w:color="auto"/>
        <w:bottom w:val="single" w:sz="4" w:space="0" w:color="auto"/>
        <w:right w:val="single" w:sz="4" w:space="0" w:color="auto"/>
      </w:tblBorders>
    </w:tblPr>
    <w:tblStylePr w:type="firstRow">
      <w:rPr>
        <w:rFonts w:ascii="Gotham Book" w:hAnsi="Gotham Book"/>
        <w:b/>
        <w:color w:val="FFFFFF" w:themeColor="background1"/>
        <w:sz w:val="22"/>
      </w:rPr>
      <w:tblPr/>
      <w:tcPr>
        <w:shd w:val="clear" w:color="auto" w:fill="007A33"/>
      </w:tcPr>
    </w:tblStylePr>
    <w:tblStylePr w:type="band1Horz">
      <w:rPr>
        <w:rFonts w:ascii="Gotham Book" w:hAnsi="Gotham Book"/>
        <w:sz w:val="22"/>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shd w:val="clear" w:color="auto" w:fill="DBE5F1"/>
      </w:tcPr>
    </w:tblStylePr>
    <w:tblStylePr w:type="band2Horz">
      <w:rPr>
        <w:rFonts w:ascii="Gotham Book" w:hAnsi="Gotham Book"/>
        <w:sz w:val="22"/>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tcPr>
    </w:tblStylePr>
  </w:style>
  <w:style w:type="table" w:customStyle="1" w:styleId="Style3">
    <w:name w:val="Style3"/>
    <w:basedOn w:val="TableNormal"/>
    <w:uiPriority w:val="99"/>
    <w:rsid w:val="00802B5D"/>
    <w:pPr>
      <w:spacing w:before="60" w:after="60" w:line="240" w:lineRule="auto"/>
    </w:pPr>
    <w:rPr>
      <w:rFonts w:ascii="Gotham Book" w:hAnsi="Gotham Book"/>
    </w:rPr>
    <w:tblPr>
      <w:tblStyleRowBandSize w:val="1"/>
      <w:tblBorders>
        <w:top w:val="single" w:sz="2" w:space="0" w:color="auto"/>
        <w:left w:val="single" w:sz="2" w:space="0" w:color="auto"/>
        <w:bottom w:val="single" w:sz="2" w:space="0" w:color="auto"/>
        <w:right w:val="single" w:sz="2" w:space="0" w:color="auto"/>
      </w:tblBorders>
    </w:tblPr>
    <w:tblStylePr w:type="firstRow">
      <w:pPr>
        <w:wordWrap/>
        <w:spacing w:before="60" w:beforeLines="0" w:beforeAutospacing="0" w:after="60" w:afterLines="0" w:afterAutospacing="0"/>
        <w:contextualSpacing w:val="0"/>
      </w:pPr>
      <w:rPr>
        <w:rFonts w:ascii="Gotham Book" w:hAnsi="Gotham Book"/>
        <w:b/>
        <w:color w:val="FFFFFF" w:themeColor="background1"/>
        <w:sz w:val="22"/>
      </w:rPr>
      <w:tblPr/>
      <w:tcPr>
        <w:shd w:val="clear" w:color="auto" w:fill="007A33"/>
      </w:tcPr>
    </w:tblStylePr>
    <w:tblStylePr w:type="band1Horz">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tcPr>
    </w:tblStylePr>
    <w:tblStylePr w:type="band2Horz">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tcPr>
    </w:tblStylePr>
  </w:style>
  <w:style w:type="table" w:customStyle="1" w:styleId="Style4">
    <w:name w:val="Style4"/>
    <w:basedOn w:val="TableNormal"/>
    <w:uiPriority w:val="99"/>
    <w:rsid w:val="00802B5D"/>
    <w:pPr>
      <w:spacing w:before="60" w:after="60" w:line="240" w:lineRule="auto"/>
    </w:pPr>
    <w:rPr>
      <w:rFonts w:ascii="Gotham Book" w:hAnsi="Gotham Book"/>
    </w:rPr>
    <w:tblPr>
      <w:tblStyleRowBandSize w:val="1"/>
      <w:tblBorders>
        <w:insideH w:val="single" w:sz="2" w:space="0" w:color="auto"/>
      </w:tblBorders>
    </w:tblPr>
    <w:tblStylePr w:type="firstRow">
      <w:pPr>
        <w:wordWrap/>
        <w:spacing w:before="60" w:beforeLines="0" w:beforeAutospacing="0" w:after="60" w:afterLines="0" w:afterAutospacing="0"/>
        <w:contextualSpacing w:val="0"/>
      </w:pPr>
      <w:rPr>
        <w:rFonts w:ascii="Gotham Book" w:hAnsi="Gotham Book"/>
        <w:b/>
        <w:color w:val="FFFFFF" w:themeColor="background1"/>
        <w:sz w:val="22"/>
      </w:rPr>
      <w:tblPr/>
      <w:tcPr>
        <w:shd w:val="clear" w:color="auto" w:fill="007A33"/>
      </w:tcPr>
    </w:tblStylePr>
  </w:style>
  <w:style w:type="table" w:customStyle="1" w:styleId="Style5">
    <w:name w:val="Style5"/>
    <w:basedOn w:val="TableNormal"/>
    <w:uiPriority w:val="99"/>
    <w:rsid w:val="00802B5D"/>
    <w:pPr>
      <w:spacing w:before="60" w:after="60" w:line="240" w:lineRule="auto"/>
    </w:pPr>
    <w:rPr>
      <w:rFonts w:ascii="Gotham Book" w:hAnsi="Gotham Book"/>
    </w:rPr>
    <w:tblPr>
      <w:tblBorders>
        <w:insideH w:val="single" w:sz="4" w:space="0" w:color="FFFFFF" w:themeColor="background1"/>
        <w:insideV w:val="single" w:sz="4" w:space="0" w:color="FFFFFF" w:themeColor="background1"/>
      </w:tblBorders>
    </w:tblPr>
    <w:tcPr>
      <w:shd w:val="clear" w:color="auto" w:fill="DBE5F1"/>
    </w:tcPr>
    <w:tblStylePr w:type="firstRow">
      <w:rPr>
        <w:rFonts w:ascii="Gotham Book" w:hAnsi="Gotham Book"/>
        <w:b/>
        <w:color w:val="FFFFFF" w:themeColor="background1"/>
        <w:sz w:val="22"/>
      </w:rPr>
      <w:tblPr/>
      <w:tcPr>
        <w:shd w:val="clear" w:color="auto" w:fill="007A33"/>
      </w:tcPr>
    </w:tblStylePr>
  </w:style>
  <w:style w:type="paragraph" w:styleId="List">
    <w:name w:val="List"/>
    <w:basedOn w:val="Normal"/>
    <w:uiPriority w:val="1"/>
    <w:qFormat/>
    <w:rsid w:val="00C53321"/>
    <w:pPr>
      <w:numPr>
        <w:numId w:val="12"/>
      </w:numPr>
    </w:pPr>
  </w:style>
  <w:style w:type="paragraph" w:styleId="List2">
    <w:name w:val="List 2"/>
    <w:basedOn w:val="Normal"/>
    <w:uiPriority w:val="38"/>
    <w:rsid w:val="00C53321"/>
    <w:pPr>
      <w:numPr>
        <w:ilvl w:val="1"/>
        <w:numId w:val="12"/>
      </w:numPr>
    </w:pPr>
  </w:style>
  <w:style w:type="paragraph" w:styleId="List4">
    <w:name w:val="List 4"/>
    <w:basedOn w:val="Normal"/>
    <w:uiPriority w:val="99"/>
    <w:semiHidden/>
    <w:rsid w:val="00B43C8B"/>
    <w:pPr>
      <w:ind w:left="1132" w:hanging="283"/>
      <w:contextualSpacing/>
    </w:pPr>
  </w:style>
  <w:style w:type="paragraph" w:styleId="List3">
    <w:name w:val="List 3"/>
    <w:basedOn w:val="Normal"/>
    <w:uiPriority w:val="1"/>
    <w:rsid w:val="00C53321"/>
    <w:pPr>
      <w:numPr>
        <w:ilvl w:val="2"/>
        <w:numId w:val="12"/>
      </w:numPr>
    </w:pPr>
  </w:style>
  <w:style w:type="paragraph" w:styleId="List5">
    <w:name w:val="List 5"/>
    <w:basedOn w:val="Normal"/>
    <w:uiPriority w:val="99"/>
    <w:semiHidden/>
    <w:rsid w:val="00B43C8B"/>
    <w:pPr>
      <w:ind w:left="1415" w:hanging="283"/>
      <w:contextualSpacing/>
    </w:pPr>
  </w:style>
  <w:style w:type="paragraph" w:styleId="ListBullet">
    <w:name w:val="List Bullet"/>
    <w:basedOn w:val="Normal"/>
    <w:uiPriority w:val="1"/>
    <w:qFormat/>
    <w:rsid w:val="00C53321"/>
    <w:pPr>
      <w:numPr>
        <w:numId w:val="13"/>
      </w:numPr>
    </w:pPr>
  </w:style>
  <w:style w:type="paragraph" w:styleId="ListBullet2">
    <w:name w:val="List Bullet 2"/>
    <w:basedOn w:val="Normal"/>
    <w:uiPriority w:val="1"/>
    <w:rsid w:val="00C53321"/>
    <w:pPr>
      <w:numPr>
        <w:ilvl w:val="1"/>
        <w:numId w:val="13"/>
      </w:numPr>
    </w:pPr>
  </w:style>
  <w:style w:type="paragraph" w:styleId="ListBullet3">
    <w:name w:val="List Bullet 3"/>
    <w:basedOn w:val="Normal"/>
    <w:uiPriority w:val="1"/>
    <w:rsid w:val="00C53321"/>
    <w:pPr>
      <w:numPr>
        <w:ilvl w:val="2"/>
        <w:numId w:val="13"/>
      </w:numPr>
    </w:pPr>
  </w:style>
  <w:style w:type="paragraph" w:styleId="ListBullet4">
    <w:name w:val="List Bullet 4"/>
    <w:basedOn w:val="Normal"/>
    <w:uiPriority w:val="99"/>
    <w:semiHidden/>
    <w:rsid w:val="00B43C8B"/>
    <w:pPr>
      <w:numPr>
        <w:numId w:val="7"/>
      </w:numPr>
      <w:contextualSpacing/>
    </w:pPr>
  </w:style>
  <w:style w:type="paragraph" w:styleId="ListContinue">
    <w:name w:val="List Continue"/>
    <w:basedOn w:val="Normal"/>
    <w:uiPriority w:val="99"/>
    <w:semiHidden/>
    <w:rsid w:val="00B43C8B"/>
    <w:pPr>
      <w:ind w:left="283"/>
      <w:contextualSpacing/>
    </w:pPr>
  </w:style>
  <w:style w:type="paragraph" w:styleId="ListBullet5">
    <w:name w:val="List Bullet 5"/>
    <w:basedOn w:val="Normal"/>
    <w:uiPriority w:val="99"/>
    <w:semiHidden/>
    <w:rsid w:val="00B43C8B"/>
    <w:pPr>
      <w:numPr>
        <w:numId w:val="8"/>
      </w:numPr>
      <w:contextualSpacing/>
    </w:pPr>
  </w:style>
  <w:style w:type="paragraph" w:styleId="ListContinue2">
    <w:name w:val="List Continue 2"/>
    <w:basedOn w:val="Normal"/>
    <w:uiPriority w:val="99"/>
    <w:semiHidden/>
    <w:rsid w:val="00B43C8B"/>
    <w:pPr>
      <w:ind w:left="566"/>
      <w:contextualSpacing/>
    </w:pPr>
  </w:style>
  <w:style w:type="paragraph" w:styleId="ListContinue3">
    <w:name w:val="List Continue 3"/>
    <w:basedOn w:val="Normal"/>
    <w:uiPriority w:val="99"/>
    <w:semiHidden/>
    <w:rsid w:val="00B43C8B"/>
    <w:pPr>
      <w:ind w:left="849"/>
      <w:contextualSpacing/>
    </w:pPr>
  </w:style>
  <w:style w:type="paragraph" w:styleId="ListNumber">
    <w:name w:val="List Number"/>
    <w:basedOn w:val="Normal"/>
    <w:uiPriority w:val="1"/>
    <w:qFormat/>
    <w:rsid w:val="002C22EB"/>
    <w:pPr>
      <w:numPr>
        <w:numId w:val="15"/>
      </w:numPr>
    </w:pPr>
  </w:style>
  <w:style w:type="paragraph" w:styleId="ListNumber2">
    <w:name w:val="List Number 2"/>
    <w:basedOn w:val="Normal"/>
    <w:uiPriority w:val="1"/>
    <w:rsid w:val="002C22EB"/>
    <w:pPr>
      <w:numPr>
        <w:ilvl w:val="1"/>
        <w:numId w:val="15"/>
      </w:numPr>
      <w:ind w:left="714" w:hanging="357"/>
    </w:pPr>
  </w:style>
  <w:style w:type="paragraph" w:styleId="ListNumber3">
    <w:name w:val="List Number 3"/>
    <w:basedOn w:val="Normal"/>
    <w:uiPriority w:val="1"/>
    <w:rsid w:val="00C01C03"/>
    <w:pPr>
      <w:numPr>
        <w:ilvl w:val="2"/>
        <w:numId w:val="15"/>
      </w:numPr>
      <w:ind w:left="1196" w:hanging="465"/>
    </w:pPr>
  </w:style>
  <w:style w:type="paragraph" w:styleId="ListNumber4">
    <w:name w:val="List Number 4"/>
    <w:basedOn w:val="Normal"/>
    <w:uiPriority w:val="99"/>
    <w:semiHidden/>
    <w:rsid w:val="00B43C8B"/>
    <w:pPr>
      <w:numPr>
        <w:numId w:val="9"/>
      </w:numPr>
      <w:contextualSpacing/>
    </w:pPr>
  </w:style>
  <w:style w:type="paragraph" w:styleId="ListContinue5">
    <w:name w:val="List Continue 5"/>
    <w:basedOn w:val="Normal"/>
    <w:uiPriority w:val="99"/>
    <w:semiHidden/>
    <w:rsid w:val="00B43C8B"/>
    <w:pPr>
      <w:ind w:left="1415"/>
      <w:contextualSpacing/>
    </w:pPr>
  </w:style>
  <w:style w:type="character" w:styleId="FootnoteReference">
    <w:name w:val="footnote reference"/>
    <w:basedOn w:val="DefaultParagraphFont"/>
    <w:uiPriority w:val="99"/>
    <w:qFormat/>
    <w:rsid w:val="00B43C8B"/>
    <w:rPr>
      <w:vertAlign w:val="superscript"/>
    </w:rPr>
  </w:style>
  <w:style w:type="paragraph" w:styleId="FootnoteText">
    <w:name w:val="footnote text"/>
    <w:basedOn w:val="Normal"/>
    <w:link w:val="FootnoteTextChar"/>
    <w:uiPriority w:val="99"/>
    <w:rsid w:val="00544277"/>
    <w:pPr>
      <w:spacing w:before="0" w:after="0" w:line="240" w:lineRule="auto"/>
    </w:pPr>
    <w:rPr>
      <w:sz w:val="18"/>
      <w:szCs w:val="20"/>
    </w:rPr>
  </w:style>
  <w:style w:type="character" w:customStyle="1" w:styleId="FootnoteTextChar">
    <w:name w:val="Footnote Text Char"/>
    <w:basedOn w:val="DefaultParagraphFont"/>
    <w:link w:val="FootnoteText"/>
    <w:uiPriority w:val="99"/>
    <w:rsid w:val="00544277"/>
    <w:rPr>
      <w:rFonts w:ascii="Gotham Book" w:hAnsi="Gotham Book"/>
      <w:sz w:val="18"/>
      <w:szCs w:val="20"/>
    </w:rPr>
  </w:style>
  <w:style w:type="paragraph" w:customStyle="1" w:styleId="Disclaimer">
    <w:name w:val="Disclaimer"/>
    <w:basedOn w:val="DisclaimerBodyMasterPages"/>
    <w:uiPriority w:val="3"/>
    <w:qFormat/>
    <w:rsid w:val="00544277"/>
    <w:pPr>
      <w:spacing w:after="60"/>
    </w:pPr>
    <w:rPr>
      <w:rFonts w:ascii="Gotham Book" w:hAnsi="Gotham Book"/>
    </w:rPr>
  </w:style>
  <w:style w:type="numbering" w:customStyle="1" w:styleId="Style20">
    <w:name w:val="Style 2"/>
    <w:uiPriority w:val="99"/>
    <w:rsid w:val="00C53321"/>
    <w:pPr>
      <w:numPr>
        <w:numId w:val="12"/>
      </w:numPr>
    </w:pPr>
  </w:style>
  <w:style w:type="numbering" w:customStyle="1" w:styleId="Numberedlist">
    <w:name w:val="Numbered list"/>
    <w:uiPriority w:val="99"/>
    <w:rsid w:val="002C22EB"/>
    <w:pPr>
      <w:numPr>
        <w:numId w:val="14"/>
      </w:numPr>
    </w:pPr>
  </w:style>
  <w:style w:type="character" w:customStyle="1" w:styleId="UnresolvedMention1">
    <w:name w:val="Unresolved Mention1"/>
    <w:basedOn w:val="DefaultParagraphFont"/>
    <w:uiPriority w:val="99"/>
    <w:semiHidden/>
    <w:unhideWhenUsed/>
    <w:rsid w:val="002C317E"/>
    <w:rPr>
      <w:color w:val="808080"/>
      <w:shd w:val="clear" w:color="auto" w:fill="E6E6E6"/>
    </w:rPr>
  </w:style>
  <w:style w:type="character" w:styleId="CommentReference">
    <w:name w:val="annotation reference"/>
    <w:basedOn w:val="DefaultParagraphFont"/>
    <w:uiPriority w:val="99"/>
    <w:semiHidden/>
    <w:unhideWhenUsed/>
    <w:rsid w:val="002C317E"/>
    <w:rPr>
      <w:sz w:val="16"/>
      <w:szCs w:val="16"/>
    </w:rPr>
  </w:style>
  <w:style w:type="paragraph" w:styleId="CommentText">
    <w:name w:val="annotation text"/>
    <w:basedOn w:val="Normal"/>
    <w:link w:val="CommentTextChar"/>
    <w:uiPriority w:val="99"/>
    <w:unhideWhenUsed/>
    <w:rsid w:val="002C317E"/>
    <w:pPr>
      <w:spacing w:line="240" w:lineRule="auto"/>
    </w:pPr>
    <w:rPr>
      <w:sz w:val="20"/>
      <w:szCs w:val="20"/>
    </w:rPr>
  </w:style>
  <w:style w:type="character" w:customStyle="1" w:styleId="CommentTextChar">
    <w:name w:val="Comment Text Char"/>
    <w:basedOn w:val="DefaultParagraphFont"/>
    <w:link w:val="CommentText"/>
    <w:uiPriority w:val="99"/>
    <w:rsid w:val="002C317E"/>
    <w:rPr>
      <w:rFonts w:ascii="Gotham Book" w:hAnsi="Gotham Book"/>
      <w:sz w:val="20"/>
      <w:szCs w:val="20"/>
    </w:rPr>
  </w:style>
  <w:style w:type="paragraph" w:styleId="CommentSubject">
    <w:name w:val="annotation subject"/>
    <w:basedOn w:val="CommentText"/>
    <w:next w:val="CommentText"/>
    <w:link w:val="CommentSubjectChar"/>
    <w:uiPriority w:val="99"/>
    <w:semiHidden/>
    <w:unhideWhenUsed/>
    <w:rsid w:val="002C317E"/>
    <w:rPr>
      <w:b/>
      <w:bCs/>
    </w:rPr>
  </w:style>
  <w:style w:type="character" w:customStyle="1" w:styleId="CommentSubjectChar">
    <w:name w:val="Comment Subject Char"/>
    <w:basedOn w:val="CommentTextChar"/>
    <w:link w:val="CommentSubject"/>
    <w:uiPriority w:val="99"/>
    <w:semiHidden/>
    <w:rsid w:val="002C317E"/>
    <w:rPr>
      <w:rFonts w:ascii="Gotham Book" w:hAnsi="Gotham Book"/>
      <w:b/>
      <w:bCs/>
      <w:sz w:val="20"/>
      <w:szCs w:val="20"/>
    </w:rPr>
  </w:style>
  <w:style w:type="paragraph" w:styleId="Revision">
    <w:name w:val="Revision"/>
    <w:hidden/>
    <w:uiPriority w:val="99"/>
    <w:semiHidden/>
    <w:rsid w:val="002C317E"/>
    <w:pPr>
      <w:spacing w:after="0" w:line="240" w:lineRule="auto"/>
    </w:pPr>
    <w:rPr>
      <w:rFonts w:ascii="Gotham Book" w:hAnsi="Gotham Book"/>
    </w:rPr>
  </w:style>
  <w:style w:type="paragraph" w:styleId="BodyText">
    <w:name w:val="Body Text"/>
    <w:basedOn w:val="Normal"/>
    <w:link w:val="BodyTextChar"/>
    <w:qFormat/>
    <w:rsid w:val="002C317E"/>
    <w:pPr>
      <w:spacing w:before="180" w:after="180" w:line="240" w:lineRule="auto"/>
    </w:pPr>
    <w:rPr>
      <w:rFonts w:ascii="Calibri" w:eastAsia="Times New Roman" w:hAnsi="Calibri" w:cs="Times New Roman"/>
      <w:color w:val="414141"/>
      <w:sz w:val="21"/>
      <w:szCs w:val="21"/>
      <w:lang w:eastAsia="en-AU"/>
    </w:rPr>
  </w:style>
  <w:style w:type="character" w:customStyle="1" w:styleId="BodyTextChar">
    <w:name w:val="Body Text Char"/>
    <w:basedOn w:val="DefaultParagraphFont"/>
    <w:link w:val="BodyText"/>
    <w:rsid w:val="002C317E"/>
    <w:rPr>
      <w:rFonts w:ascii="Calibri" w:eastAsia="Times New Roman" w:hAnsi="Calibri" w:cs="Times New Roman"/>
      <w:color w:val="414141"/>
      <w:sz w:val="21"/>
      <w:szCs w:val="21"/>
      <w:lang w:eastAsia="en-AU"/>
    </w:rPr>
  </w:style>
  <w:style w:type="paragraph" w:customStyle="1" w:styleId="LetterSubject">
    <w:name w:val="Letter Subject"/>
    <w:next w:val="Normal"/>
    <w:uiPriority w:val="38"/>
    <w:rsid w:val="002C317E"/>
    <w:pPr>
      <w:keepNext/>
      <w:keepLines/>
      <w:spacing w:before="480" w:after="240" w:line="240" w:lineRule="auto"/>
    </w:pPr>
    <w:rPr>
      <w:rFonts w:eastAsia="Times New Roman" w:asciiTheme="majorHAnsi" w:hAnsiTheme="majorHAnsi" w:cs="Times New Roman"/>
      <w:color w:val="4F81BD" w:themeColor="accent1"/>
      <w:sz w:val="28"/>
      <w:szCs w:val="24"/>
      <w:lang w:eastAsia="en-AU"/>
    </w:rPr>
  </w:style>
  <w:style w:type="paragraph" w:customStyle="1" w:styleId="LetterDate">
    <w:name w:val="Letter Date"/>
    <w:basedOn w:val="Normal"/>
    <w:next w:val="LetterAddress"/>
    <w:uiPriority w:val="38"/>
    <w:rsid w:val="002C317E"/>
    <w:pPr>
      <w:spacing w:before="360" w:after="360" w:line="240" w:lineRule="auto"/>
    </w:pPr>
    <w:rPr>
      <w:rFonts w:ascii="Calibri" w:eastAsia="Times New Roman" w:hAnsi="Calibri" w:cs="Times New Roman"/>
      <w:color w:val="414141"/>
      <w:sz w:val="21"/>
      <w:szCs w:val="21"/>
      <w:lang w:eastAsia="en-AU"/>
    </w:rPr>
  </w:style>
  <w:style w:type="paragraph" w:customStyle="1" w:styleId="LetterAddress">
    <w:name w:val="Letter Address"/>
    <w:basedOn w:val="Normal"/>
    <w:uiPriority w:val="38"/>
    <w:rsid w:val="002C317E"/>
    <w:pPr>
      <w:spacing w:before="180" w:after="180" w:line="240" w:lineRule="auto"/>
      <w:contextualSpacing/>
    </w:pPr>
    <w:rPr>
      <w:rFonts w:ascii="Calibri" w:eastAsia="Times New Roman" w:hAnsi="Calibri" w:cs="Times New Roman"/>
      <w:color w:val="414141"/>
      <w:sz w:val="21"/>
      <w:szCs w:val="21"/>
      <w:lang w:eastAsia="en-AU"/>
    </w:rPr>
  </w:style>
  <w:style w:type="paragraph" w:customStyle="1" w:styleId="LetterSalutation">
    <w:name w:val="Letter Salutation"/>
    <w:basedOn w:val="Normal"/>
    <w:next w:val="BodyText"/>
    <w:uiPriority w:val="38"/>
    <w:rsid w:val="002C317E"/>
    <w:pPr>
      <w:spacing w:before="720" w:after="180" w:line="240" w:lineRule="auto"/>
    </w:pPr>
    <w:rPr>
      <w:rFonts w:ascii="Calibri" w:eastAsia="Times New Roman" w:hAnsi="Calibri" w:cs="Times New Roman"/>
      <w:color w:val="414141"/>
      <w:sz w:val="21"/>
      <w:szCs w:val="21"/>
      <w:lang w:eastAsia="en-AU"/>
    </w:rPr>
  </w:style>
  <w:style w:type="paragraph" w:customStyle="1" w:styleId="BodyTextNoSpace">
    <w:name w:val="Body Text (No Space)"/>
    <w:basedOn w:val="BodyText"/>
    <w:uiPriority w:val="59"/>
    <w:semiHidden/>
    <w:qFormat/>
    <w:rsid w:val="002C317E"/>
    <w:pPr>
      <w:spacing w:before="0" w:after="0"/>
    </w:pPr>
  </w:style>
  <w:style w:type="character" w:customStyle="1" w:styleId="UnresolvedMention">
    <w:name w:val="Unresolved Mention"/>
    <w:basedOn w:val="DefaultParagraphFont"/>
    <w:uiPriority w:val="99"/>
    <w:semiHidden/>
    <w:unhideWhenUsed/>
    <w:rsid w:val="006B6CD3"/>
    <w:rPr>
      <w:color w:val="808080"/>
      <w:shd w:val="clear" w:color="auto" w:fill="E6E6E6"/>
    </w:rPr>
  </w:style>
  <w:style w:type="table" w:customStyle="1" w:styleId="TableGrid21">
    <w:name w:val="Table Grid21"/>
    <w:basedOn w:val="TableNormal"/>
    <w:next w:val="TableGrid"/>
    <w:uiPriority w:val="59"/>
    <w:rsid w:val="00D20E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s">
    <w:name w:val="Figures"/>
    <w:next w:val="Normal"/>
    <w:uiPriority w:val="2"/>
    <w:qFormat/>
    <w:rsid w:val="00B22ABA"/>
    <w:pPr>
      <w:keepNext/>
    </w:pPr>
    <w:rPr>
      <w:rFonts w:ascii="Gotham Book" w:hAnsi="Gotham Book"/>
      <w:b/>
      <w:noProof/>
    </w:rPr>
  </w:style>
  <w:style w:type="paragraph" w:customStyle="1" w:styleId="Pa2">
    <w:name w:val="Pa2"/>
    <w:basedOn w:val="Normal"/>
    <w:next w:val="Normal"/>
    <w:uiPriority w:val="99"/>
    <w:rsid w:val="002441A4"/>
    <w:pPr>
      <w:autoSpaceDE w:val="0"/>
      <w:autoSpaceDN w:val="0"/>
      <w:adjustRightInd w:val="0"/>
      <w:spacing w:before="0" w:after="0" w:line="191" w:lineRule="atLeast"/>
    </w:pPr>
    <w:rPr>
      <w:sz w:val="24"/>
      <w:szCs w:val="24"/>
    </w:rPr>
  </w:style>
  <w:style w:type="paragraph" w:customStyle="1" w:styleId="paragraph">
    <w:name w:val="paragraph"/>
    <w:basedOn w:val="Normal"/>
    <w:rsid w:val="00B81774"/>
    <w:pPr>
      <w:spacing w:before="0" w:after="0" w:line="240" w:lineRule="auto"/>
    </w:pPr>
    <w:rPr>
      <w:rFonts w:ascii="Times New Roman" w:eastAsia="Times New Roman" w:hAnsi="Times New Roman" w:cs="Times New Roman"/>
      <w:sz w:val="24"/>
      <w:szCs w:val="24"/>
      <w:lang w:eastAsia="en-AU"/>
    </w:rPr>
  </w:style>
  <w:style w:type="character" w:customStyle="1" w:styleId="normaltextrun1">
    <w:name w:val="normaltextrun1"/>
    <w:basedOn w:val="DefaultParagraphFont"/>
    <w:rsid w:val="00B81774"/>
  </w:style>
  <w:style w:type="character" w:customStyle="1" w:styleId="eop">
    <w:name w:val="eop"/>
    <w:basedOn w:val="DefaultParagraphFont"/>
    <w:rsid w:val="00B81774"/>
  </w:style>
  <w:style w:type="table" w:styleId="GridTable1LightAccent1">
    <w:name w:val="Grid Table 1 Light Accent 1"/>
    <w:basedOn w:val="TableNormal"/>
    <w:uiPriority w:val="46"/>
    <w:rsid w:val="007205AF"/>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EndnoteReference">
    <w:name w:val="endnote reference"/>
    <w:basedOn w:val="DefaultParagraphFont"/>
    <w:uiPriority w:val="99"/>
    <w:semiHidden/>
    <w:unhideWhenUsed/>
    <w:rsid w:val="00645A8D"/>
    <w:rPr>
      <w:vertAlign w:val="superscript"/>
    </w:rPr>
  </w:style>
  <w:style w:type="table" w:styleId="GridTable1LightAccent5">
    <w:name w:val="Grid Table 1 Light Accent 5"/>
    <w:basedOn w:val="TableNormal"/>
    <w:uiPriority w:val="46"/>
    <w:rsid w:val="00EB76FA"/>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PlainTable2">
    <w:name w:val="Plain Table 2"/>
    <w:basedOn w:val="TableNormal"/>
    <w:uiPriority w:val="42"/>
    <w:rsid w:val="00EB76F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B76F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normaltextrun">
    <w:name w:val="normaltextrun"/>
    <w:basedOn w:val="DefaultParagraphFont"/>
    <w:rsid w:val="007F1E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footer" Target="footer1.xml" /><Relationship Id="rId11" Type="http://schemas.openxmlformats.org/officeDocument/2006/relationships/image" Target="media/image3.jpeg" /><Relationship Id="rId12" Type="http://schemas.openxmlformats.org/officeDocument/2006/relationships/image" Target="media/image4.jpeg" /><Relationship Id="rId13" Type="http://schemas.openxmlformats.org/officeDocument/2006/relationships/image" Target="media/image5.jpeg" /><Relationship Id="rId14" Type="http://schemas.openxmlformats.org/officeDocument/2006/relationships/image" Target="media/image6.jpeg" /><Relationship Id="rId15" Type="http://schemas.openxmlformats.org/officeDocument/2006/relationships/image" Target="media/image7.jpeg" /><Relationship Id="rId16" Type="http://schemas.openxmlformats.org/officeDocument/2006/relationships/image" Target="media/image8.jpeg" /><Relationship Id="rId17" Type="http://schemas.openxmlformats.org/officeDocument/2006/relationships/image" Target="media/image9.jpeg" /><Relationship Id="rId18" Type="http://schemas.openxmlformats.org/officeDocument/2006/relationships/image" Target="media/image10.jpeg" /><Relationship Id="rId19" Type="http://schemas.openxmlformats.org/officeDocument/2006/relationships/image" Target="media/image11.png" /><Relationship Id="rId2" Type="http://schemas.openxmlformats.org/officeDocument/2006/relationships/settings" Target="settings.xml" /><Relationship Id="rId20" Type="http://schemas.openxmlformats.org/officeDocument/2006/relationships/image" Target="media/image12.png" /><Relationship Id="rId21" Type="http://schemas.openxmlformats.org/officeDocument/2006/relationships/image" Target="media/image13.png" /><Relationship Id="rId22" Type="http://schemas.openxmlformats.org/officeDocument/2006/relationships/image" Target="media/image14.png" /><Relationship Id="rId23" Type="http://schemas.openxmlformats.org/officeDocument/2006/relationships/image" Target="media/image15.png" /><Relationship Id="rId24" Type="http://schemas.openxmlformats.org/officeDocument/2006/relationships/image" Target="media/image16.png" /><Relationship Id="rId25" Type="http://schemas.openxmlformats.org/officeDocument/2006/relationships/image" Target="media/image17.png" /><Relationship Id="rId26" Type="http://schemas.openxmlformats.org/officeDocument/2006/relationships/image" Target="media/image18.png" /><Relationship Id="rId27" Type="http://schemas.openxmlformats.org/officeDocument/2006/relationships/image" Target="media/image19.png" /><Relationship Id="rId28" Type="http://schemas.openxmlformats.org/officeDocument/2006/relationships/image" Target="media/image20.png" /><Relationship Id="rId29" Type="http://schemas.openxmlformats.org/officeDocument/2006/relationships/image" Target="media/image21.png" /><Relationship Id="rId3" Type="http://schemas.openxmlformats.org/officeDocument/2006/relationships/webSettings" Target="webSettings.xml" /><Relationship Id="rId30" Type="http://schemas.openxmlformats.org/officeDocument/2006/relationships/image" Target="media/image22.png" /><Relationship Id="rId31" Type="http://schemas.openxmlformats.org/officeDocument/2006/relationships/image" Target="media/image23.png" /><Relationship Id="rId32" Type="http://schemas.openxmlformats.org/officeDocument/2006/relationships/image" Target="media/image24.png" /><Relationship Id="rId33" Type="http://schemas.openxmlformats.org/officeDocument/2006/relationships/image" Target="media/image25.png" /><Relationship Id="rId34" Type="http://schemas.openxmlformats.org/officeDocument/2006/relationships/image" Target="media/image26.png" /><Relationship Id="rId35" Type="http://schemas.openxmlformats.org/officeDocument/2006/relationships/image" Target="media/image27.png" /><Relationship Id="rId36" Type="http://schemas.openxmlformats.org/officeDocument/2006/relationships/image" Target="media/image28.png" /><Relationship Id="rId37" Type="http://schemas.openxmlformats.org/officeDocument/2006/relationships/image" Target="media/image29.png" /><Relationship Id="rId38" Type="http://schemas.openxmlformats.org/officeDocument/2006/relationships/image" Target="media/image30.png" /><Relationship Id="rId39" Type="http://schemas.openxmlformats.org/officeDocument/2006/relationships/image" Target="media/image31.png" /><Relationship Id="rId4" Type="http://schemas.openxmlformats.org/officeDocument/2006/relationships/fontTable" Target="fontTable.xml" /><Relationship Id="rId40" Type="http://schemas.openxmlformats.org/officeDocument/2006/relationships/image" Target="media/image32.png" /><Relationship Id="rId41" Type="http://schemas.openxmlformats.org/officeDocument/2006/relationships/image" Target="media/image33.png" /><Relationship Id="rId42" Type="http://schemas.openxmlformats.org/officeDocument/2006/relationships/image" Target="media/image34.png" /><Relationship Id="rId43" Type="http://schemas.openxmlformats.org/officeDocument/2006/relationships/image" Target="media/image35.png" /><Relationship Id="rId44" Type="http://schemas.openxmlformats.org/officeDocument/2006/relationships/image" Target="media/image36.png" /><Relationship Id="rId45" Type="http://schemas.openxmlformats.org/officeDocument/2006/relationships/image" Target="media/image37.png" /><Relationship Id="rId46" Type="http://schemas.openxmlformats.org/officeDocument/2006/relationships/image" Target="media/image38.png" /><Relationship Id="rId47" Type="http://schemas.openxmlformats.org/officeDocument/2006/relationships/image" Target="media/image39.png" /><Relationship Id="rId48" Type="http://schemas.openxmlformats.org/officeDocument/2006/relationships/image" Target="media/image40.png" /><Relationship Id="rId49" Type="http://schemas.openxmlformats.org/officeDocument/2006/relationships/image" Target="media/image41.png" /><Relationship Id="rId5" Type="http://schemas.openxmlformats.org/officeDocument/2006/relationships/customXml" Target="../customXml/item1.xml" /><Relationship Id="rId50" Type="http://schemas.openxmlformats.org/officeDocument/2006/relationships/image" Target="media/image42.png" /><Relationship Id="rId51" Type="http://schemas.openxmlformats.org/officeDocument/2006/relationships/image" Target="media/image43.png" /><Relationship Id="rId52" Type="http://schemas.openxmlformats.org/officeDocument/2006/relationships/image" Target="media/image44.png" /><Relationship Id="rId53" Type="http://schemas.openxmlformats.org/officeDocument/2006/relationships/image" Target="media/image45.png" /><Relationship Id="rId54" Type="http://schemas.openxmlformats.org/officeDocument/2006/relationships/image" Target="media/image46.png" /><Relationship Id="rId55" Type="http://schemas.openxmlformats.org/officeDocument/2006/relationships/image" Target="media/image47.png" /><Relationship Id="rId56" Type="http://schemas.openxmlformats.org/officeDocument/2006/relationships/image" Target="media/image48.png" /><Relationship Id="rId57" Type="http://schemas.openxmlformats.org/officeDocument/2006/relationships/image" Target="media/image49.png" /><Relationship Id="rId58" Type="http://schemas.openxmlformats.org/officeDocument/2006/relationships/image" Target="media/image50.png" /><Relationship Id="rId59" Type="http://schemas.openxmlformats.org/officeDocument/2006/relationships/image" Target="media/image51.png" /><Relationship Id="rId6" Type="http://schemas.openxmlformats.org/officeDocument/2006/relationships/customXml" Target="../customXml/item2.xml" /><Relationship Id="rId60" Type="http://schemas.openxmlformats.org/officeDocument/2006/relationships/image" Target="media/image52.png" /><Relationship Id="rId61" Type="http://schemas.openxmlformats.org/officeDocument/2006/relationships/image" Target="media/image53.png" /><Relationship Id="rId62" Type="http://schemas.openxmlformats.org/officeDocument/2006/relationships/header" Target="header2.xml" /><Relationship Id="rId63" Type="http://schemas.openxmlformats.org/officeDocument/2006/relationships/footer" Target="footer2.xml" /><Relationship Id="rId64" Type="http://schemas.openxmlformats.org/officeDocument/2006/relationships/footer" Target="footer3.xml" /><Relationship Id="rId65" Type="http://schemas.openxmlformats.org/officeDocument/2006/relationships/header" Target="header3.xml" /><Relationship Id="rId66" Type="http://schemas.openxmlformats.org/officeDocument/2006/relationships/header" Target="header4.xml" /><Relationship Id="rId67" Type="http://schemas.openxmlformats.org/officeDocument/2006/relationships/footer" Target="footer4.xml" /><Relationship Id="rId68" Type="http://schemas.openxmlformats.org/officeDocument/2006/relationships/footer" Target="footer5.xml" /><Relationship Id="rId69" Type="http://schemas.openxmlformats.org/officeDocument/2006/relationships/theme" Target="theme/theme1.xml" /><Relationship Id="rId7" Type="http://schemas.openxmlformats.org/officeDocument/2006/relationships/customXml" Target="../customXml/item3.xml" /><Relationship Id="rId70" Type="http://schemas.openxmlformats.org/officeDocument/2006/relationships/numbering" Target="numbering.xml" /><Relationship Id="rId71" Type="http://schemas.openxmlformats.org/officeDocument/2006/relationships/styles" Target="styles.xml" /><Relationship Id="rId8" Type="http://schemas.openxmlformats.org/officeDocument/2006/relationships/customXml" Target="../customXml/item4.xml" /><Relationship Id="rId9" Type="http://schemas.openxmlformats.org/officeDocument/2006/relationships/header" Target="header1.xml" /></Relationships>
</file>

<file path=word/_rels/footer1.xml.rels>&#65279;<?xml version="1.0" encoding="utf-8" standalone="yes"?><Relationships xmlns="http://schemas.openxmlformats.org/package/2006/relationships"><Relationship Id="rId1" Type="http://schemas.openxmlformats.org/officeDocument/2006/relationships/image" Target="media/image2.jpeg" /></Relationships>
</file>

<file path=word/_rels/footer5.xml.rels>&#65279;<?xml version="1.0" encoding="utf-8" standalone="yes"?><Relationships xmlns="http://schemas.openxmlformats.org/package/2006/relationships"><Relationship Id="rId1" Type="http://schemas.openxmlformats.org/officeDocument/2006/relationships/image" Target="media/image54.jpeg" /></Relationships>
</file>

<file path=word/_rels/header1.xml.rels>&#65279;<?xml version="1.0" encoding="utf-8" standalone="yes"?><Relationships xmlns="http://schemas.openxmlformats.org/package/2006/relationships"><Relationship Id="rId1" Type="http://schemas.openxmlformats.org/officeDocument/2006/relationships/image" Target="media/image1.jpeg" /></Relationships>
</file>

<file path=word/_rels/header3.xml.rels>&#65279;<?xml version="1.0" encoding="utf-8" standalone="yes"?><Relationships xmlns="http://schemas.openxmlformats.org/package/2006/relationships"><Relationship Id="rId1" Type="http://schemas.openxmlformats.org/officeDocument/2006/relationships/image" Target="media/image54.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&#65279;<?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B34B3FE57306C4DAA548FDA9031FB3A" ma:contentTypeVersion="10" ma:contentTypeDescription="Create a new document." ma:contentTypeScope="" ma:versionID="a3eff008e5dbfc1a70239d0d25ae58e7">
  <xsd:schema xmlns:xsd="http://www.w3.org/2001/XMLSchema" xmlns:xs="http://www.w3.org/2001/XMLSchema" xmlns:p="http://schemas.microsoft.com/office/2006/metadata/properties" xmlns:ns3="b87a2919-2c93-4886-b645-bb85f213f532" xmlns:ns4="160e48e0-9973-490b-a600-a81142651dd7" targetNamespace="http://schemas.microsoft.com/office/2006/metadata/properties" ma:root="true" ma:fieldsID="19d1cee88c79c82194880c52f193b7ad" ns3:_="" ns4:_="">
    <xsd:import namespace="b87a2919-2c93-4886-b645-bb85f213f532"/>
    <xsd:import namespace="160e48e0-9973-490b-a600-a81142651dd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EventHashCode" minOccurs="0"/>
                <xsd:element ref="ns3:MediaServiceGenerationTim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7a2919-2c93-4886-b645-bb85f213f5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0e48e0-9973-490b-a600-a81142651dd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EF9F2C-ECC8-4FDA-B3E1-1BF857AA6487}">
  <ds:schemaRefs>
    <ds:schemaRef ds:uri="http://schemas.microsoft.com/sharepoint/v3/contenttype/forms"/>
  </ds:schemaRefs>
</ds:datastoreItem>
</file>

<file path=customXml/itemProps2.xml><?xml version="1.0" encoding="utf-8"?>
<ds:datastoreItem xmlns:ds="http://schemas.openxmlformats.org/officeDocument/2006/customXml" ds:itemID="{314F3F4B-CB00-456B-BBD0-8F04A5D6B390}">
  <ds:schemaRefs>
    <ds:schemaRef ds:uri="http://schemas.microsoft.com/office/2006/metadata/properties"/>
    <ds:schemaRef ds:uri="http://purl.org/dc/terms/"/>
    <ds:schemaRef ds:uri="b87a2919-2c93-4886-b645-bb85f213f532"/>
    <ds:schemaRef ds:uri="http://schemas.microsoft.com/office/2006/documentManagement/types"/>
    <ds:schemaRef ds:uri="160e48e0-9973-490b-a600-a81142651dd7"/>
    <ds:schemaRef ds:uri="http://schemas.openxmlformats.org/package/2006/metadata/core-properties"/>
    <ds:schemaRef ds:uri="http://purl.org/dc/elements/1.1/"/>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79E75E29-3699-4F40-9E6D-54C2D5FF92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7a2919-2c93-4886-b645-bb85f213f532"/>
    <ds:schemaRef ds:uri="160e48e0-9973-490b-a600-a81142651d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FFFED3-A481-4BF0-9415-6470756CC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7182</Words>
  <Characters>40940</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Home building compensation quarterly report June 2018</vt:lpstr>
    </vt:vector>
  </TitlesOfParts>
  <Company>SRWS</Company>
  <LinksUpToDate>false</LinksUpToDate>
  <CharactersWithSpaces>48026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 building compensation quarterly report June 2018</dc:title>
  <dc:creator>Loontee Por</dc:creator>
  <cp:lastModifiedBy>David Alonso Love</cp:lastModifiedBy>
  <cp:revision>2</cp:revision>
  <cp:lastPrinted>2019-08-05T02:02:00Z</cp:lastPrinted>
  <dcterms:created xsi:type="dcterms:W3CDTF">2019-08-05T07:04:00Z</dcterms:created>
  <dcterms:modified xsi:type="dcterms:W3CDTF">2019-08-05T07:04:00Z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0x0101009B34B3FE57306C4DAA548FDA9031FB3A</vt:lpwstr>
  </property>
</Properties>
</file>